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3185" w14:textId="14482014" w:rsidR="00F13854" w:rsidRPr="00DB6E4E" w:rsidRDefault="00C06184" w:rsidP="00DB6E4E">
      <w:pPr>
        <w:pStyle w:val="TidakAdaSpasi"/>
        <w:spacing w:after="120"/>
        <w:contextualSpacing/>
        <w:jc w:val="center"/>
        <w:rPr>
          <w:rFonts w:ascii="Palatino Linotype" w:hAnsi="Palatino Linotype" w:cs="Times New Roman"/>
          <w:b/>
          <w:bCs/>
          <w:sz w:val="24"/>
          <w:szCs w:val="24"/>
        </w:rPr>
      </w:pPr>
      <w:r w:rsidRPr="00DB6E4E">
        <w:rPr>
          <w:rFonts w:ascii="Palatino Linotype" w:hAnsi="Palatino Linotype"/>
          <w:noProof/>
          <w:sz w:val="24"/>
          <w:szCs w:val="24"/>
        </w:rPr>
        <mc:AlternateContent>
          <mc:Choice Requires="wps">
            <w:drawing>
              <wp:anchor distT="0" distB="0" distL="0" distR="0" simplePos="0" relativeHeight="251656704" behindDoc="0" locked="0" layoutInCell="1" allowOverlap="1" wp14:anchorId="012353D0" wp14:editId="49174F78">
                <wp:simplePos x="0" y="0"/>
                <wp:positionH relativeFrom="margin">
                  <wp:align>center</wp:align>
                </wp:positionH>
                <wp:positionV relativeFrom="paragraph">
                  <wp:posOffset>-80645</wp:posOffset>
                </wp:positionV>
                <wp:extent cx="5438775" cy="0"/>
                <wp:effectExtent l="0" t="0" r="0" b="0"/>
                <wp:wrapNone/>
                <wp:docPr id="409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w:pict>
              <v:line w14:anchorId="46138877" id="Straight Connector 4" o:spid="_x0000_s1026" style="position:absolute;z-index:2516567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margin;mso-height-relative:margin" from="0,-6.35pt" to="428.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" strokeweight="1.5pt">
                <v:stroke joinstyle="miter"/>
                <o:lock v:ext="edit" shapetype="f"/>
                <w10:wrap anchorx="margin"/>
              </v:line>
            </w:pict>
          </mc:Fallback>
        </mc:AlternateContent>
      </w:r>
      <w:bookmarkStart w:id="0" w:name="_Hlk199191766"/>
      <w:r w:rsidR="001900AB" w:rsidRPr="00DB6E4E">
        <w:rPr>
          <w:rFonts w:ascii="Palatino Linotype" w:hAnsi="Palatino Linotype"/>
          <w:sz w:val="24"/>
          <w:szCs w:val="24"/>
        </w:rPr>
        <w:t xml:space="preserve"> </w:t>
      </w:r>
      <w:r w:rsidR="001900AB" w:rsidRPr="00DB6E4E">
        <w:rPr>
          <w:rFonts w:ascii="Palatino Linotype" w:hAnsi="Palatino Linotype" w:cs="Times New Roman"/>
          <w:b/>
          <w:bCs/>
          <w:sz w:val="24"/>
          <w:szCs w:val="24"/>
        </w:rPr>
        <w:t>THE EFFECT OF FINANCIAL PERFORMANCE ON STOCK PERFORMANCE IN THE BANKING INDUSTRY LISTED ON THE</w:t>
      </w:r>
      <w:r w:rsidR="00DB6E4E">
        <w:rPr>
          <w:rFonts w:ascii="Palatino Linotype" w:hAnsi="Palatino Linotype" w:cs="Times New Roman"/>
          <w:b/>
          <w:bCs/>
          <w:sz w:val="24"/>
          <w:szCs w:val="24"/>
        </w:rPr>
        <w:t xml:space="preserve"> </w:t>
      </w:r>
      <w:r w:rsidR="001900AB" w:rsidRPr="00DB6E4E">
        <w:rPr>
          <w:rFonts w:ascii="Palatino Linotype" w:hAnsi="Palatino Linotype" w:cs="Times New Roman"/>
          <w:b/>
          <w:bCs/>
          <w:sz w:val="24"/>
          <w:szCs w:val="24"/>
        </w:rPr>
        <w:t>I</w:t>
      </w:r>
      <w:r w:rsidR="0085460A" w:rsidRPr="00DB6E4E">
        <w:rPr>
          <w:rFonts w:ascii="Palatino Linotype" w:hAnsi="Palatino Linotype" w:cs="Times New Roman"/>
          <w:b/>
          <w:bCs/>
          <w:sz w:val="24"/>
          <w:szCs w:val="24"/>
        </w:rPr>
        <w:t>NDONESIA STOCK EXCHANGE</w:t>
      </w:r>
    </w:p>
    <w:bookmarkEnd w:id="0"/>
    <w:p w14:paraId="50E1D8C5" w14:textId="77777777" w:rsidR="005C423A" w:rsidRPr="00DB6E4E" w:rsidRDefault="005C423A" w:rsidP="00DB6E4E">
      <w:pPr>
        <w:pStyle w:val="TidakAdaSpasi"/>
        <w:spacing w:after="120"/>
        <w:contextualSpacing/>
        <w:rPr>
          <w:rFonts w:ascii="Palatino Linotype" w:eastAsia="Arial" w:hAnsi="Palatino Linotype" w:cstheme="majorBidi"/>
          <w:b/>
          <w:bCs/>
          <w:color w:val="000000"/>
          <w:sz w:val="24"/>
          <w:szCs w:val="24"/>
          <w:lang w:val="fi-FI"/>
        </w:rPr>
      </w:pPr>
    </w:p>
    <w:p w14:paraId="172E29B0" w14:textId="5E6C9082" w:rsidR="00F13854" w:rsidRPr="00DB6E4E" w:rsidRDefault="001900AB" w:rsidP="00DB6E4E">
      <w:pPr>
        <w:pBdr>
          <w:top w:val="nil"/>
          <w:left w:val="nil"/>
          <w:bottom w:val="nil"/>
          <w:right w:val="nil"/>
          <w:between w:val="nil"/>
        </w:pBdr>
        <w:spacing w:after="120" w:line="240" w:lineRule="auto"/>
        <w:ind w:hanging="2"/>
        <w:contextualSpacing/>
        <w:jc w:val="center"/>
        <w:rPr>
          <w:rFonts w:ascii="Palatino Linotype" w:eastAsia="Arial" w:hAnsi="Palatino Linotype" w:cstheme="majorBidi"/>
          <w:b/>
          <w:color w:val="000000"/>
          <w:szCs w:val="24"/>
          <w:vertAlign w:val="superscript"/>
        </w:rPr>
      </w:pPr>
      <w:bookmarkStart w:id="1" w:name="_Hlk200437643"/>
      <w:r w:rsidRPr="00DB6E4E">
        <w:rPr>
          <w:rFonts w:ascii="Palatino Linotype" w:eastAsia="Arial" w:hAnsi="Palatino Linotype" w:cstheme="majorBidi"/>
          <w:b/>
          <w:color w:val="000000"/>
          <w:szCs w:val="24"/>
        </w:rPr>
        <w:t>Muhammad Fauzy Ismail</w:t>
      </w:r>
      <w:r w:rsidR="00F13854" w:rsidRPr="00DB6E4E">
        <w:rPr>
          <w:rFonts w:ascii="Palatino Linotype" w:eastAsia="Arial" w:hAnsi="Palatino Linotype" w:cstheme="majorBidi"/>
          <w:b/>
          <w:color w:val="000000"/>
          <w:szCs w:val="24"/>
          <w:vertAlign w:val="superscript"/>
        </w:rPr>
        <w:t>1</w:t>
      </w:r>
    </w:p>
    <w:bookmarkEnd w:id="1"/>
    <w:p w14:paraId="61021316" w14:textId="364A806F" w:rsidR="00F13854" w:rsidRPr="00DB6E4E" w:rsidRDefault="00F13854" w:rsidP="00DB6E4E">
      <w:pPr>
        <w:pBdr>
          <w:top w:val="nil"/>
          <w:left w:val="nil"/>
          <w:bottom w:val="nil"/>
          <w:right w:val="nil"/>
          <w:between w:val="nil"/>
        </w:pBdr>
        <w:spacing w:after="120" w:line="240" w:lineRule="auto"/>
        <w:ind w:hanging="2"/>
        <w:contextualSpacing/>
        <w:jc w:val="center"/>
        <w:rPr>
          <w:rFonts w:ascii="Palatino Linotype" w:eastAsia="Arial" w:hAnsi="Palatino Linotype" w:cstheme="majorBidi"/>
          <w:b/>
          <w:color w:val="000000"/>
          <w:szCs w:val="24"/>
        </w:rPr>
      </w:pPr>
      <w:r w:rsidRPr="00DB6E4E">
        <w:rPr>
          <w:rFonts w:ascii="Palatino Linotype" w:eastAsia="Arial" w:hAnsi="Palatino Linotype" w:cstheme="majorBidi"/>
          <w:b/>
          <w:color w:val="000000"/>
          <w:szCs w:val="24"/>
        </w:rPr>
        <w:t xml:space="preserve">Universitas </w:t>
      </w:r>
      <w:r w:rsidR="001900AB" w:rsidRPr="00DB6E4E">
        <w:rPr>
          <w:rFonts w:ascii="Palatino Linotype" w:eastAsia="Arial" w:hAnsi="Palatino Linotype" w:cstheme="majorBidi"/>
          <w:b/>
          <w:color w:val="000000"/>
          <w:szCs w:val="24"/>
        </w:rPr>
        <w:t>Trisakti</w:t>
      </w:r>
      <w:r w:rsidRPr="00DB6E4E">
        <w:rPr>
          <w:rFonts w:ascii="Palatino Linotype" w:eastAsia="Arial" w:hAnsi="Palatino Linotype" w:cstheme="majorBidi"/>
          <w:b/>
          <w:color w:val="000000"/>
          <w:szCs w:val="24"/>
        </w:rPr>
        <w:t>,</w:t>
      </w:r>
      <w:r w:rsidR="00DB6E4E">
        <w:rPr>
          <w:rFonts w:ascii="Palatino Linotype" w:eastAsia="Arial" w:hAnsi="Palatino Linotype" w:cstheme="majorBidi"/>
          <w:b/>
          <w:color w:val="000000"/>
          <w:szCs w:val="24"/>
        </w:rPr>
        <w:t xml:space="preserve"> Jakarta,</w:t>
      </w:r>
      <w:r w:rsidRPr="00DB6E4E">
        <w:rPr>
          <w:rFonts w:ascii="Palatino Linotype" w:eastAsia="Arial" w:hAnsi="Palatino Linotype" w:cstheme="majorBidi"/>
          <w:b/>
          <w:color w:val="000000"/>
          <w:szCs w:val="24"/>
        </w:rPr>
        <w:t xml:space="preserve"> Indonesia</w:t>
      </w:r>
    </w:p>
    <w:p w14:paraId="27A31E24" w14:textId="6C0C6C31" w:rsidR="00F13854" w:rsidRPr="00DB6E4E" w:rsidRDefault="006B2AD6" w:rsidP="00DB6E4E">
      <w:pPr>
        <w:pBdr>
          <w:top w:val="nil"/>
          <w:left w:val="nil"/>
          <w:bottom w:val="nil"/>
          <w:right w:val="nil"/>
          <w:between w:val="nil"/>
        </w:pBdr>
        <w:spacing w:after="120" w:line="240" w:lineRule="auto"/>
        <w:ind w:hanging="2"/>
        <w:contextualSpacing/>
        <w:jc w:val="center"/>
        <w:rPr>
          <w:rFonts w:ascii="Palatino Linotype" w:eastAsia="Arial" w:hAnsi="Palatino Linotype"/>
          <w:b/>
          <w:szCs w:val="24"/>
        </w:rPr>
      </w:pPr>
      <w:hyperlink r:id="rId8" w:history="1">
        <w:r w:rsidRPr="00DB6E4E">
          <w:rPr>
            <w:rStyle w:val="Hyperlink"/>
            <w:rFonts w:ascii="Palatino Linotype" w:eastAsia="Arial" w:hAnsi="Palatino Linotype"/>
            <w:b/>
            <w:szCs w:val="24"/>
          </w:rPr>
          <w:t>mfauzymuhammad@gmail.com</w:t>
        </w:r>
      </w:hyperlink>
    </w:p>
    <w:p w14:paraId="37C81B2D" w14:textId="77777777" w:rsidR="00F13854" w:rsidRPr="00DB6E4E" w:rsidRDefault="00F13854" w:rsidP="00DB6E4E">
      <w:pPr>
        <w:pBdr>
          <w:top w:val="nil"/>
          <w:left w:val="nil"/>
          <w:bottom w:val="nil"/>
          <w:right w:val="nil"/>
          <w:between w:val="nil"/>
        </w:pBdr>
        <w:spacing w:after="120" w:line="240" w:lineRule="auto"/>
        <w:contextualSpacing/>
        <w:rPr>
          <w:rFonts w:ascii="Palatino Linotype" w:eastAsia="Arial" w:hAnsi="Palatino Linotype"/>
          <w:b/>
          <w:szCs w:val="24"/>
        </w:rPr>
      </w:pPr>
    </w:p>
    <w:p w14:paraId="12C76DDC" w14:textId="5E4AEFB5" w:rsidR="00F13854" w:rsidRPr="00DB6E4E" w:rsidRDefault="001900AB" w:rsidP="00DB6E4E">
      <w:pPr>
        <w:pBdr>
          <w:top w:val="nil"/>
          <w:left w:val="nil"/>
          <w:bottom w:val="nil"/>
          <w:right w:val="nil"/>
          <w:between w:val="nil"/>
        </w:pBdr>
        <w:spacing w:after="120" w:line="240" w:lineRule="auto"/>
        <w:ind w:hanging="2"/>
        <w:contextualSpacing/>
        <w:jc w:val="center"/>
        <w:rPr>
          <w:rFonts w:ascii="Palatino Linotype" w:eastAsia="Arial" w:hAnsi="Palatino Linotype" w:cstheme="majorBidi"/>
          <w:b/>
          <w:color w:val="000000"/>
          <w:szCs w:val="24"/>
        </w:rPr>
      </w:pPr>
      <w:bookmarkStart w:id="2" w:name="_Hlk200437675"/>
      <w:r w:rsidRPr="00DB6E4E">
        <w:rPr>
          <w:rFonts w:ascii="Palatino Linotype" w:eastAsia="Arial" w:hAnsi="Palatino Linotype" w:cstheme="majorBidi"/>
          <w:b/>
          <w:color w:val="000000"/>
          <w:szCs w:val="24"/>
        </w:rPr>
        <w:t>Susy Muchtar</w:t>
      </w:r>
      <w:r w:rsidR="00F13854" w:rsidRPr="00DB6E4E">
        <w:rPr>
          <w:rFonts w:ascii="Palatino Linotype" w:eastAsia="Arial" w:hAnsi="Palatino Linotype" w:cstheme="majorBidi"/>
          <w:b/>
          <w:color w:val="000000"/>
          <w:szCs w:val="24"/>
          <w:vertAlign w:val="superscript"/>
        </w:rPr>
        <w:t>2</w:t>
      </w:r>
      <w:bookmarkEnd w:id="2"/>
      <w:r w:rsidR="00F13854" w:rsidRPr="00DB6E4E">
        <w:rPr>
          <w:rFonts w:ascii="Palatino Linotype" w:eastAsia="Arial" w:hAnsi="Palatino Linotype" w:cstheme="majorBidi"/>
          <w:b/>
          <w:color w:val="000000"/>
          <w:szCs w:val="24"/>
        </w:rPr>
        <w:t xml:space="preserve"> </w:t>
      </w:r>
    </w:p>
    <w:p w14:paraId="701D93FD" w14:textId="77777777" w:rsidR="00DB6E4E" w:rsidRPr="00DB6E4E" w:rsidRDefault="00DB6E4E" w:rsidP="00DB6E4E">
      <w:pPr>
        <w:pBdr>
          <w:top w:val="nil"/>
          <w:left w:val="nil"/>
          <w:bottom w:val="nil"/>
          <w:right w:val="nil"/>
          <w:between w:val="nil"/>
        </w:pBdr>
        <w:spacing w:after="120" w:line="240" w:lineRule="auto"/>
        <w:ind w:hanging="2"/>
        <w:contextualSpacing/>
        <w:jc w:val="center"/>
        <w:rPr>
          <w:rFonts w:ascii="Palatino Linotype" w:eastAsia="Arial" w:hAnsi="Palatino Linotype" w:cstheme="majorBidi"/>
          <w:b/>
          <w:color w:val="000000"/>
          <w:szCs w:val="24"/>
        </w:rPr>
      </w:pPr>
      <w:r w:rsidRPr="00DB6E4E">
        <w:rPr>
          <w:rFonts w:ascii="Palatino Linotype" w:eastAsia="Arial" w:hAnsi="Palatino Linotype" w:cstheme="majorBidi"/>
          <w:b/>
          <w:color w:val="000000"/>
          <w:szCs w:val="24"/>
        </w:rPr>
        <w:t>Universitas Trisakti,</w:t>
      </w:r>
      <w:r>
        <w:rPr>
          <w:rFonts w:ascii="Palatino Linotype" w:eastAsia="Arial" w:hAnsi="Palatino Linotype" w:cstheme="majorBidi"/>
          <w:b/>
          <w:color w:val="000000"/>
          <w:szCs w:val="24"/>
        </w:rPr>
        <w:t xml:space="preserve"> Jakarta,</w:t>
      </w:r>
      <w:r w:rsidRPr="00DB6E4E">
        <w:rPr>
          <w:rFonts w:ascii="Palatino Linotype" w:eastAsia="Arial" w:hAnsi="Palatino Linotype" w:cstheme="majorBidi"/>
          <w:b/>
          <w:color w:val="000000"/>
          <w:szCs w:val="24"/>
        </w:rPr>
        <w:t xml:space="preserve"> Indonesia</w:t>
      </w:r>
    </w:p>
    <w:p w14:paraId="2C31BC23" w14:textId="5B05C1AC" w:rsidR="00867F06" w:rsidRPr="00DB6E4E" w:rsidRDefault="00E825D7" w:rsidP="00DB6E4E">
      <w:pPr>
        <w:pBdr>
          <w:top w:val="nil"/>
          <w:left w:val="nil"/>
          <w:bottom w:val="nil"/>
          <w:right w:val="nil"/>
          <w:between w:val="nil"/>
        </w:pBdr>
        <w:spacing w:after="120" w:line="240" w:lineRule="auto"/>
        <w:ind w:hanging="2"/>
        <w:contextualSpacing/>
        <w:jc w:val="center"/>
        <w:rPr>
          <w:rFonts w:ascii="Palatino Linotype" w:eastAsia="Arial" w:hAnsi="Palatino Linotype"/>
          <w:b/>
          <w:szCs w:val="24"/>
        </w:rPr>
      </w:pPr>
      <w:hyperlink r:id="rId9" w:history="1">
        <w:r w:rsidRPr="00DB6E4E">
          <w:rPr>
            <w:rStyle w:val="Hyperlink"/>
            <w:rFonts w:ascii="Palatino Linotype" w:eastAsia="Arial" w:hAnsi="Palatino Linotype"/>
            <w:b/>
            <w:szCs w:val="24"/>
          </w:rPr>
          <w:t xml:space="preserve">susy_muchtar@trisakti.ac.id </w:t>
        </w:r>
      </w:hyperlink>
    </w:p>
    <w:p w14:paraId="202AC52C" w14:textId="77777777" w:rsidR="00C06184" w:rsidRPr="00DB6E4E" w:rsidRDefault="00C06184" w:rsidP="00DB6E4E">
      <w:pPr>
        <w:spacing w:after="120" w:line="240" w:lineRule="auto"/>
        <w:ind w:left="57" w:right="49"/>
        <w:contextualSpacing/>
        <w:jc w:val="center"/>
        <w:rPr>
          <w:rFonts w:ascii="Palatino Linotype" w:hAnsi="Palatino Linotype"/>
          <w:b/>
          <w:szCs w:val="24"/>
          <w:lang w:val="id-ID"/>
        </w:rPr>
      </w:pPr>
      <w:r w:rsidRPr="00DB6E4E">
        <w:rPr>
          <w:rFonts w:ascii="Palatino Linotype" w:hAnsi="Palatino Linotype"/>
          <w:b/>
          <w:bCs/>
          <w:noProof/>
          <w:szCs w:val="24"/>
        </w:rPr>
        <mc:AlternateContent>
          <mc:Choice Requires="wps">
            <w:drawing>
              <wp:anchor distT="0" distB="0" distL="0" distR="0" simplePos="0" relativeHeight="251659264" behindDoc="0" locked="0" layoutInCell="1" allowOverlap="1" wp14:anchorId="25A658D9" wp14:editId="2BAAEDD1">
                <wp:simplePos x="0" y="0"/>
                <wp:positionH relativeFrom="column">
                  <wp:posOffset>-11430</wp:posOffset>
                </wp:positionH>
                <wp:positionV relativeFrom="paragraph">
                  <wp:posOffset>37465</wp:posOffset>
                </wp:positionV>
                <wp:extent cx="5438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38775" cy="0"/>
                        </a:xfrm>
                        <a:prstGeom prst="line">
                          <a:avLst/>
                        </a:prstGeom>
                        <a:ln w="19050" cap="flat" cmpd="sng">
                          <a:solidFill>
                            <a:srgbClr val="000000"/>
                          </a:solidFill>
                          <a:prstDash val="solid"/>
                          <a:miter/>
                          <a:headEnd/>
                          <a:tailEnd/>
                        </a:ln>
                      </wps:spPr>
                      <wps:bodyPr/>
                    </wps:wsp>
                  </a:graphicData>
                </a:graphic>
                <wp14:sizeRelH relativeFrom="margin">
                  <wp14:pctWidth>0</wp14:pctWidth>
                </wp14:sizeRelH>
              </wp:anchor>
            </w:drawing>
          </mc:Choice>
          <mc:Fallback>
            <w:pict>
              <v:line w14:anchorId="40E74A68" id="Straight Connector 4" o:spid="_x0000_s1026" style="position:absolute;z-index:251659264;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9pt,2.95pt" to="427.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" strokeweight="1.5pt">
                <v:stroke joinstyle="miter"/>
                <o:lock v:ext="edit" shapetype="f"/>
              </v:line>
            </w:pict>
          </mc:Fallback>
        </mc:AlternateContent>
      </w:r>
    </w:p>
    <w:p w14:paraId="2178DD08" w14:textId="59BA3E1E" w:rsidR="0000685B" w:rsidRPr="00DB6E4E" w:rsidRDefault="00C06184" w:rsidP="00DB6E4E">
      <w:pPr>
        <w:spacing w:after="120" w:line="240" w:lineRule="auto"/>
        <w:contextualSpacing/>
        <w:jc w:val="center"/>
        <w:rPr>
          <w:rFonts w:ascii="Palatino Linotype" w:hAnsi="Palatino Linotype"/>
          <w:b/>
          <w:szCs w:val="24"/>
        </w:rPr>
      </w:pPr>
      <w:r w:rsidRPr="00DB6E4E">
        <w:rPr>
          <w:rFonts w:ascii="Palatino Linotype" w:hAnsi="Palatino Linotype"/>
          <w:b/>
          <w:szCs w:val="24"/>
        </w:rPr>
        <w:t>Abstract</w:t>
      </w:r>
    </w:p>
    <w:p w14:paraId="35EDFFDD" w14:textId="0D485D59" w:rsidR="001900AB" w:rsidRDefault="001900AB" w:rsidP="00DB6E4E">
      <w:pPr>
        <w:spacing w:after="120" w:line="240" w:lineRule="auto"/>
        <w:contextualSpacing/>
        <w:rPr>
          <w:rFonts w:ascii="Palatino Linotype" w:eastAsia="Times New Roman" w:hAnsi="Palatino Linotype" w:cs="Times New Roman"/>
          <w:szCs w:val="24"/>
          <w:lang w:val="en-ID"/>
          <w14:ligatures w14:val="standardContextual"/>
        </w:rPr>
      </w:pPr>
      <w:r w:rsidRPr="00DB6E4E">
        <w:rPr>
          <w:rFonts w:ascii="Palatino Linotype" w:eastAsia="Times New Roman" w:hAnsi="Palatino Linotype" w:cs="Times New Roman"/>
          <w:szCs w:val="24"/>
          <w:lang w:val="en-ID"/>
          <w14:ligatures w14:val="standardContextual"/>
        </w:rPr>
        <w:t>This research aims to gain insight into the influence of a bank's financial performance on its market performance assuming that the financial performance of an organization is the most important criterion that triggers stock price movements. The data used in this study is secondary data sourced from the annual banking report listed on the Indonesia Stock Exchange (IDX) from 2020 – 2024. The number of research samples was 29 banks with a total of 145 data that met the criteria. This study used multiple linear regression analysis on panel data to evaluate the relationship between independent and dependent variables using e-views software 9. The results of this study show that net non-performing assets and current account savings accounts have a significant negative impact on share price growth. Capital adequacy ratio, net interest margin, and liquid assets total assets have a significant positive impact. Bank size has a significant positive impact. The implications of this research can be useful for managers to evaluate financial performance and strategies that affect market perception</w:t>
      </w:r>
      <w:r w:rsidR="00DB6E4E">
        <w:rPr>
          <w:rFonts w:ascii="Palatino Linotype" w:eastAsia="Times New Roman" w:hAnsi="Palatino Linotype" w:cs="Times New Roman"/>
          <w:szCs w:val="24"/>
          <w:lang w:val="en-ID"/>
          <w14:ligatures w14:val="standardContextual"/>
        </w:rPr>
        <w:t>,</w:t>
      </w:r>
      <w:r w:rsidRPr="00DB6E4E">
        <w:rPr>
          <w:rFonts w:ascii="Palatino Linotype" w:eastAsia="Times New Roman" w:hAnsi="Palatino Linotype" w:cs="Times New Roman"/>
          <w:szCs w:val="24"/>
          <w:lang w:val="en-ID"/>
          <w14:ligatures w14:val="standardContextual"/>
        </w:rPr>
        <w:t xml:space="preserve"> and also </w:t>
      </w:r>
      <w:r w:rsidR="00DB6E4E">
        <w:rPr>
          <w:rFonts w:ascii="Palatino Linotype" w:eastAsia="Times New Roman" w:hAnsi="Palatino Linotype" w:cs="Times New Roman"/>
          <w:szCs w:val="24"/>
          <w:lang w:val="en-ID"/>
          <w14:ligatures w14:val="standardContextual"/>
        </w:rPr>
        <w:t xml:space="preserve">for </w:t>
      </w:r>
      <w:r w:rsidRPr="00DB6E4E">
        <w:rPr>
          <w:rFonts w:ascii="Palatino Linotype" w:eastAsia="Times New Roman" w:hAnsi="Palatino Linotype" w:cs="Times New Roman"/>
          <w:szCs w:val="24"/>
          <w:lang w:val="en-ID"/>
          <w14:ligatures w14:val="standardContextual"/>
        </w:rPr>
        <w:t>investors to consider external factors such as economic conditions and market sentiment.</w:t>
      </w:r>
    </w:p>
    <w:p w14:paraId="10EE669D" w14:textId="77777777" w:rsidR="00DB6E4E" w:rsidRPr="00DB6E4E" w:rsidRDefault="00DB6E4E" w:rsidP="00DB6E4E">
      <w:pPr>
        <w:spacing w:after="120" w:line="240" w:lineRule="auto"/>
        <w:contextualSpacing/>
        <w:rPr>
          <w:rFonts w:ascii="Palatino Linotype" w:eastAsia="Times New Roman" w:hAnsi="Palatino Linotype" w:cs="Times New Roman"/>
          <w:szCs w:val="24"/>
          <w:lang w:val="en-ID"/>
          <w14:ligatures w14:val="standardContextual"/>
        </w:rPr>
      </w:pPr>
    </w:p>
    <w:p w14:paraId="067DA29F" w14:textId="25F9D0F0" w:rsidR="001900AB" w:rsidRPr="00DB6E4E" w:rsidRDefault="001900AB" w:rsidP="00DB6E4E">
      <w:pPr>
        <w:spacing w:after="120" w:line="240" w:lineRule="auto"/>
        <w:ind w:left="1276" w:hanging="1276"/>
        <w:contextualSpacing/>
        <w:rPr>
          <w:rFonts w:ascii="Palatino Linotype" w:eastAsia="Times New Roman" w:hAnsi="Palatino Linotype" w:cs="Times New Roman"/>
          <w:szCs w:val="24"/>
          <w:lang w:val="en-ID"/>
          <w14:ligatures w14:val="standardContextual"/>
        </w:rPr>
      </w:pPr>
      <w:r w:rsidRPr="00DB6E4E">
        <w:rPr>
          <w:rFonts w:ascii="Palatino Linotype" w:eastAsia="Times New Roman" w:hAnsi="Palatino Linotype" w:cs="Times New Roman"/>
          <w:b/>
          <w:bCs/>
          <w:szCs w:val="24"/>
          <w:lang w:val="en-ID"/>
          <w14:ligatures w14:val="standardContextual"/>
        </w:rPr>
        <w:t>Keywords</w:t>
      </w:r>
      <w:r w:rsidRPr="00DB6E4E">
        <w:rPr>
          <w:rFonts w:ascii="Palatino Linotype" w:eastAsia="Times New Roman" w:hAnsi="Palatino Linotype" w:cs="Times New Roman"/>
          <w:szCs w:val="24"/>
          <w:lang w:val="en-ID"/>
          <w14:ligatures w14:val="standardContextual"/>
        </w:rPr>
        <w:t xml:space="preserve">: Bank </w:t>
      </w:r>
      <w:r w:rsidR="00DB6E4E" w:rsidRPr="00DB6E4E">
        <w:rPr>
          <w:rFonts w:ascii="Palatino Linotype" w:eastAsia="Times New Roman" w:hAnsi="Palatino Linotype" w:cs="Times New Roman"/>
          <w:szCs w:val="24"/>
          <w:lang w:val="en-ID"/>
          <w14:ligatures w14:val="standardContextual"/>
        </w:rPr>
        <w:t xml:space="preserve">Financial Performance, </w:t>
      </w:r>
      <w:r w:rsidRPr="00DB6E4E">
        <w:rPr>
          <w:rFonts w:ascii="Palatino Linotype" w:eastAsia="Times New Roman" w:hAnsi="Palatino Linotype" w:cs="Times New Roman"/>
          <w:szCs w:val="24"/>
          <w:lang w:val="en-ID"/>
          <w14:ligatures w14:val="standardContextual"/>
        </w:rPr>
        <w:t xml:space="preserve">Market </w:t>
      </w:r>
      <w:r w:rsidR="00DB6E4E" w:rsidRPr="00DB6E4E">
        <w:rPr>
          <w:rFonts w:ascii="Palatino Linotype" w:eastAsia="Times New Roman" w:hAnsi="Palatino Linotype" w:cs="Times New Roman"/>
          <w:szCs w:val="24"/>
          <w:lang w:val="en-ID"/>
          <w14:ligatures w14:val="standardContextual"/>
        </w:rPr>
        <w:t xml:space="preserve">Performance, </w:t>
      </w:r>
      <w:r w:rsidRPr="00DB6E4E">
        <w:rPr>
          <w:rFonts w:ascii="Palatino Linotype" w:eastAsia="Times New Roman" w:hAnsi="Palatino Linotype" w:cs="Times New Roman"/>
          <w:szCs w:val="24"/>
          <w:lang w:val="en-ID"/>
          <w14:ligatures w14:val="standardContextual"/>
        </w:rPr>
        <w:t xml:space="preserve">Stock </w:t>
      </w:r>
      <w:r w:rsidR="00DB6E4E" w:rsidRPr="00DB6E4E">
        <w:rPr>
          <w:rFonts w:ascii="Palatino Linotype" w:eastAsia="Times New Roman" w:hAnsi="Palatino Linotype" w:cs="Times New Roman"/>
          <w:szCs w:val="24"/>
          <w:lang w:val="en-ID"/>
          <w14:ligatures w14:val="standardContextual"/>
        </w:rPr>
        <w:t xml:space="preserve">Price Growth, </w:t>
      </w:r>
      <w:r w:rsidRPr="00DB6E4E">
        <w:rPr>
          <w:rFonts w:ascii="Palatino Linotype" w:eastAsia="Times New Roman" w:hAnsi="Palatino Linotype" w:cs="Times New Roman"/>
          <w:szCs w:val="24"/>
          <w:lang w:val="en-ID"/>
          <w14:ligatures w14:val="standardContextual"/>
        </w:rPr>
        <w:t xml:space="preserve">Multiple </w:t>
      </w:r>
      <w:r w:rsidR="00DB6E4E" w:rsidRPr="00DB6E4E">
        <w:rPr>
          <w:rFonts w:ascii="Palatino Linotype" w:eastAsia="Times New Roman" w:hAnsi="Palatino Linotype" w:cs="Times New Roman"/>
          <w:szCs w:val="24"/>
          <w:lang w:val="en-ID"/>
          <w14:ligatures w14:val="standardContextual"/>
        </w:rPr>
        <w:t xml:space="preserve">Linear Regression, </w:t>
      </w:r>
      <w:r w:rsidRPr="00DB6E4E">
        <w:rPr>
          <w:rFonts w:ascii="Palatino Linotype" w:eastAsia="Times New Roman" w:hAnsi="Palatino Linotype" w:cs="Times New Roman"/>
          <w:szCs w:val="24"/>
          <w:lang w:val="en-ID"/>
          <w14:ligatures w14:val="standardContextual"/>
        </w:rPr>
        <w:t>Indonesia Stock Exchange</w:t>
      </w:r>
    </w:p>
    <w:p w14:paraId="0158B63E" w14:textId="27987743" w:rsidR="00510276" w:rsidRPr="00DB6E4E" w:rsidRDefault="00510276" w:rsidP="00DB6E4E">
      <w:pPr>
        <w:pStyle w:val="NormalWeb"/>
        <w:spacing w:before="0" w:beforeAutospacing="0" w:after="120" w:afterAutospacing="0"/>
        <w:ind w:left="1276" w:right="49" w:hanging="1276"/>
        <w:contextualSpacing/>
        <w:jc w:val="both"/>
        <w:rPr>
          <w:rFonts w:ascii="Palatino Linotype" w:eastAsia="Arial" w:hAnsi="Palatino Linotype" w:cstheme="majorBidi"/>
          <w:color w:val="000000"/>
          <w:lang w:val="en-US"/>
        </w:rPr>
      </w:pPr>
    </w:p>
    <w:p w14:paraId="450245FD" w14:textId="77777777" w:rsidR="000278AA" w:rsidRPr="00DB6E4E" w:rsidRDefault="000278AA" w:rsidP="00DB6E4E">
      <w:pPr>
        <w:spacing w:after="120" w:line="240" w:lineRule="auto"/>
        <w:contextualSpacing/>
        <w:jc w:val="lowKashida"/>
        <w:rPr>
          <w:rFonts w:ascii="Palatino Linotype" w:eastAsia="Times New Roman" w:hAnsi="Palatino Linotype" w:cs="Times New Roman"/>
          <w:b/>
          <w:bCs/>
          <w:szCs w:val="24"/>
          <w:lang w:val="id-ID" w:eastAsia="id-ID"/>
        </w:rPr>
      </w:pPr>
      <w:r w:rsidRPr="00DB6E4E">
        <w:rPr>
          <w:rFonts w:ascii="Palatino Linotype" w:hAnsi="Palatino Linotype"/>
          <w:b/>
          <w:bCs/>
          <w:szCs w:val="24"/>
        </w:rPr>
        <w:br w:type="page"/>
      </w:r>
    </w:p>
    <w:p w14:paraId="55626997" w14:textId="7EACC4AE" w:rsidR="00C06184" w:rsidRPr="00DB6E4E" w:rsidRDefault="00C06184" w:rsidP="00DB6E4E">
      <w:pPr>
        <w:pStyle w:val="NormalWeb"/>
        <w:spacing w:before="0" w:beforeAutospacing="0" w:after="120" w:afterAutospacing="0"/>
        <w:ind w:left="1276" w:right="49" w:hanging="1276"/>
        <w:contextualSpacing/>
        <w:jc w:val="both"/>
        <w:rPr>
          <w:rFonts w:ascii="Palatino Linotype" w:hAnsi="Palatino Linotype"/>
          <w:b/>
          <w:bCs/>
        </w:rPr>
      </w:pPr>
      <w:r w:rsidRPr="00DB6E4E">
        <w:rPr>
          <w:rFonts w:ascii="Palatino Linotype" w:hAnsi="Palatino Linotype"/>
          <w:b/>
          <w:bCs/>
        </w:rPr>
        <w:lastRenderedPageBreak/>
        <w:t>INTRODUCTION</w:t>
      </w:r>
    </w:p>
    <w:p w14:paraId="3E37DB33" w14:textId="281A76D1" w:rsidR="009C781E"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t xml:space="preserve">The banking sector plays a crucial role in the national economy as a financial intermediary that channels surplus funds into productive investments. Technology-driven transformation has intensified scholarly attention on banking efficiency, while mandatory financial disclosure by publicly listed banks serves as a key mechanism for maintaining investor confidence </w:t>
      </w:r>
      <w:r w:rsidR="00B22D76" w:rsidRPr="00DB6E4E">
        <w:rPr>
          <w:rFonts w:ascii="Palatino Linotype" w:hAnsi="Palatino Linotype" w:cstheme="majorBidi"/>
          <w:szCs w:val="24"/>
        </w:rPr>
        <w:fldChar w:fldCharType="begin" w:fldLock="1"/>
      </w:r>
      <w:r w:rsidR="00B22D76" w:rsidRPr="00DB6E4E">
        <w:rPr>
          <w:rFonts w:ascii="Palatino Linotype" w:hAnsi="Palatino Linotype" w:cstheme="majorBidi"/>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industry","type":"article-journal","volume":"13"},"uris":["http://www.mendeley.com/documents/?uuid=3f949c5c-2d87-4e73-867b-2ea8d142803e"]},{"id":"ITEM-2","itemData":{"DOI":"10.13106/jafeb.2020.vol7.no11.101","ISSN":"22884645","abstract":"The research was conducted with the aim of knowing the effect of the CAMELS ratio either partially or simultaneously on stock prices. The CAMELS ratio (Capital, Asset Quality, Management, Earning, Liquidity) is used to measure the soundness of a bank, where by the better the soundness of the bank, the more profitable the bank will be for potential investors and other interested parties. The population of this research consists of the four state banks documented on the Indonesia Stock Exchange over the 2012-2019 period. The sample selection technique is a saturated sampling. This study provides the results that partially CAR has a significant effect on the share price of government banks listed on the IDX. Meanwhile, NPL, NPM, ROA, and LDR do not have a significant effect on stock prices of state banks listed on the IDX. The results of the regression analysis show that, together the CAMELS ratio, which is proxied by CAR, NPLS, NPM, ROA, and LDR has a positive and significant influence on the share price of state-owned banks documented on the Indonesia Stock Exchange, so this can be used as a reference for investors in predicting the share price of a state-owned bank before investing in shares.","author":[{"dropping-particle":"","family":"Nugroho","given":"Mulyanto","non-dropping-particle":"","parse-names":false,"suffix":""},{"dropping-particle":"","family":"Halik","given":"Abdul","non-dropping-particle":"","parse-names":false,"suffix":""},{"dropping-particle":"","family":"Arif","given":"Donny","non-dropping-particle":"","parse-names":false,"suffix":""}],"container-title":"Journal of Asian Finance, Economics and Business","id":"ITEM-2","issue":"11","issued":{"date-parts":[["2020"]]},"page":"101-106","title":"Effect of CAMELS Ratio on Indonesia Banking Share Prices","type":"article-journal","volume":"7"},"uris":["http://www.mendeley.com/documents/?uuid=598a7383-bf05-40ab-aa75-8df23c1b4128"]}],"mendeley":{"formattedCitation":"(Nugroho et al., 2020; Sar &amp; Panigrahi, 2025)","plainTextFormattedCitation":"(Nugroho et al., 2020; Sar &amp; Panigrahi, 2025)","previouslyFormattedCitation":"(Nugroho et al., 2020; Sar &amp; Panigrahi, 2025)"},"properties":{"noteIndex":0},"schema":"https://github.com/citation-style-language/schema/raw/master/csl-citation.json"}</w:instrText>
      </w:r>
      <w:r w:rsidR="00B22D76" w:rsidRPr="00DB6E4E">
        <w:rPr>
          <w:rFonts w:ascii="Palatino Linotype" w:hAnsi="Palatino Linotype" w:cstheme="majorBidi"/>
          <w:szCs w:val="24"/>
        </w:rPr>
        <w:fldChar w:fldCharType="separate"/>
      </w:r>
      <w:r w:rsidR="00B22D76" w:rsidRPr="00DB6E4E">
        <w:rPr>
          <w:rFonts w:ascii="Palatino Linotype" w:hAnsi="Palatino Linotype" w:cstheme="majorBidi"/>
          <w:noProof/>
          <w:szCs w:val="24"/>
        </w:rPr>
        <w:t>(Nugroho et al., 2020; Sar &amp; Panigrahi, 2025)</w:t>
      </w:r>
      <w:r w:rsidR="00B22D7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7540FE0C" w14:textId="1EE95076" w:rsidR="009C781E"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t xml:space="preserve">Stock investment offers returns in the form of dividends and capital gains, making financial statement analysis and stock price movements essential for investors. Banking stocks are among the most attractive investment instruments, as stock prices reflect historical performance, current financial conditions, and future expectations </w:t>
      </w:r>
      <w:r w:rsidR="00B22D76" w:rsidRPr="00DB6E4E">
        <w:rPr>
          <w:rFonts w:ascii="Palatino Linotype" w:hAnsi="Palatino Linotype" w:cstheme="majorBidi"/>
          <w:szCs w:val="24"/>
        </w:rPr>
        <w:fldChar w:fldCharType="begin" w:fldLock="1"/>
      </w:r>
      <w:r w:rsidR="00B22D76" w:rsidRPr="00DB6E4E">
        <w:rPr>
          <w:rFonts w:ascii="Palatino Linotype" w:hAnsi="Palatino Linotype" w:cstheme="majorBidi"/>
          <w:szCs w:val="24"/>
        </w:rPr>
        <w:instrText>ADDIN CSL_CITATION {"citationItems":[{"id":"ITEM-1","itemData":{"DOI":"10.1016/j.frl.2020.101678","ISSN":"15446123","abstract":"Whether return synchronicity is associated with higher or lower stock price informativeness is still an ongoing debate in the academic literature. This paper contributes to this debate by exploiting an exogenous shock, provided by a regulatory change introduced by the Federal Reserve in 2015, and examining its impact on return synchronicity using a sample of U.S. listed bank holding companies (BHCs) operating during the period of 2014: Q3 – 2016: Q2. Applying a regression discontinuity design, we find that return synchronicity of treated BHCs decreases after the regulatory change. This finding suggests that lower return synchronicity represents lower stock price informativeness.","author":[{"dropping-particle":"","family":"Abedifar","given":"Pejman","non-dropping-particle":"","parse-names":false,"suffix":""},{"dropping-particle":"","family":"Bouslah","given":"Kais","non-dropping-particle":"","parse-names":false,"suffix":""},{"dropping-particle":"","family":"Zheng","given":"Yeliangzi","non-dropping-particle":"","parse-names":false,"suffix":""}],"container-title":"Finance Research Letters","id":"ITEM-1","issue":"June","issued":{"date-parts":[["2021"]]},"page":"101678","publisher":"Elsevier","title":"Stock price synchronicity and price informativeness: Evidence from a regulatory change in the U.S. banking industry","type":"article-journal","volume":"40"},"uris":["http://www.mendeley.com/documents/?uuid=63d19de7-8739-478c-9f8c-d99d595ebeb5"]},{"id":"ITEM-2","itemData":{"DOI":"10.13106/jafeb.2020.vol7.no11.101","ISSN":"22884645","abstract":"The research was conducted with the aim of knowing the effect of the CAMELS ratio either partially or simultaneously on stock prices. The CAMELS ratio (Capital, Asset Quality, Management, Earning, Liquidity) is used to measure the soundness of a bank, where by the better the soundness of the bank, the more profitable the bank will be for potential investors and other interested parties. The population of this research consists of the four state banks documented on the Indonesia Stock Exchange over the 2012-2019 period. The sample selection technique is a saturated sampling. This study provides the results that partially CAR has a significant effect on the share price of government banks listed on the IDX. Meanwhile, NPL, NPM, ROA, and LDR do not have a significant effect on stock prices of state banks listed on the IDX. The results of the regression analysis show that, together the CAMELS ratio, which is proxied by CAR, NPLS, NPM, ROA, and LDR has a positive and significant influence on the share price of state-owned banks documented on the Indonesia Stock Exchange, so this can be used as a reference for investors in predicting the share price of a state-owned bank before investing in shares.","author":[{"dropping-particle":"","family":"Nugroho","given":"Mulyanto","non-dropping-particle":"","parse-names":false,"suffix":""},{"dropping-particle":"","family":"Halik","given":"Abdul","non-dropping-particle":"","parse-names":false,"suffix":""},{"dropping-particle":"","family":"Arif","given":"Donny","non-dropping-particle":"","parse-names":false,"suffix":""}],"container-title":"Journal of Asian Finance, Economics and Business","id":"ITEM-2","issue":"11","issued":{"date-parts":[["2020"]]},"page":"101-106","title":"Effect of CAMELS Ratio on Indonesia Banking Share Prices","type":"article-journal","volume":"7"},"uris":["http://www.mendeley.com/documents/?uuid=598a7383-bf05-40ab-aa75-8df23c1b4128"]}],"mendeley":{"formattedCitation":"(Abedifar et al., 2021; Nugroho et al., 2020)","plainTextFormattedCitation":"(Abedifar et al., 2021; Nugroho et al., 2020)","previouslyFormattedCitation":"(Abedifar et al., 2021; Nugroho et al., 2020)"},"properties":{"noteIndex":0},"schema":"https://github.com/citation-style-language/schema/raw/master/csl-citation.json"}</w:instrText>
      </w:r>
      <w:r w:rsidR="00B22D76" w:rsidRPr="00DB6E4E">
        <w:rPr>
          <w:rFonts w:ascii="Palatino Linotype" w:hAnsi="Palatino Linotype" w:cstheme="majorBidi"/>
          <w:szCs w:val="24"/>
        </w:rPr>
        <w:fldChar w:fldCharType="separate"/>
      </w:r>
      <w:r w:rsidR="00B22D76" w:rsidRPr="00DB6E4E">
        <w:rPr>
          <w:rFonts w:ascii="Palatino Linotype" w:hAnsi="Palatino Linotype" w:cstheme="majorBidi"/>
          <w:noProof/>
          <w:szCs w:val="24"/>
        </w:rPr>
        <w:t>(Abedifar et al., 2021; Nugroho et al., 2020)</w:t>
      </w:r>
      <w:r w:rsidR="00B22D76" w:rsidRPr="00DB6E4E">
        <w:rPr>
          <w:rFonts w:ascii="Palatino Linotype" w:hAnsi="Palatino Linotype" w:cstheme="majorBidi"/>
          <w:szCs w:val="24"/>
        </w:rPr>
        <w:fldChar w:fldCharType="end"/>
      </w:r>
      <w:r w:rsidRPr="00DB6E4E">
        <w:rPr>
          <w:rFonts w:ascii="Palatino Linotype" w:hAnsi="Palatino Linotype" w:cstheme="majorBidi"/>
          <w:szCs w:val="24"/>
        </w:rPr>
        <w:t xml:space="preserve">. In this study, stock performance is proxied by share price growth </w:t>
      </w:r>
      <w:r w:rsidR="00B22D76" w:rsidRPr="00DB6E4E">
        <w:rPr>
          <w:rFonts w:ascii="Palatino Linotype" w:hAnsi="Palatino Linotype" w:cstheme="majorBidi"/>
          <w:szCs w:val="24"/>
        </w:rPr>
        <w:fldChar w:fldCharType="begin" w:fldLock="1"/>
      </w:r>
      <w:r w:rsidR="00B22D76" w:rsidRPr="00DB6E4E">
        <w:rPr>
          <w:rFonts w:ascii="Palatino Linotype" w:hAnsi="Palatino Linotype" w:cstheme="majorBidi"/>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industry","type":"article-journal","volume":"13"},"uris":["http://www.mendeley.com/documents/?uuid=3f949c5c-2d87-4e73-867b-2ea8d142803e"]}],"mendeley":{"formattedCitation":"(Sar &amp; Panigrahi, 2025)","plainTextFormattedCitation":"(Sar &amp; Panigrahi, 2025)","previouslyFormattedCitation":"(Sar &amp; Panigrahi, 2025)"},"properties":{"noteIndex":0},"schema":"https://github.com/citation-style-language/schema/raw/master/csl-citation.json"}</w:instrText>
      </w:r>
      <w:r w:rsidR="00B22D76" w:rsidRPr="00DB6E4E">
        <w:rPr>
          <w:rFonts w:ascii="Palatino Linotype" w:hAnsi="Palatino Linotype" w:cstheme="majorBidi"/>
          <w:szCs w:val="24"/>
        </w:rPr>
        <w:fldChar w:fldCharType="separate"/>
      </w:r>
      <w:r w:rsidR="00B22D76" w:rsidRPr="00DB6E4E">
        <w:rPr>
          <w:rFonts w:ascii="Palatino Linotype" w:hAnsi="Palatino Linotype" w:cstheme="majorBidi"/>
          <w:noProof/>
          <w:szCs w:val="24"/>
        </w:rPr>
        <w:t>(Sar &amp; Panigrahi, 2025)</w:t>
      </w:r>
      <w:r w:rsidR="00B22D7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2B1F20B0" w14:textId="44C03FAD" w:rsidR="009C781E"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t xml:space="preserve">Bank financial performance is assessed using the CAMEL framework, which evaluates capital adequacy, asset quality, management efficiency, earnings ability, and liquidity. This model is recommended by the Basel Committee as a tool for assessing bank soundness, while the sensitivity to market risk component is excluded due to data limitations </w:t>
      </w:r>
      <w:r w:rsidR="00B22D76" w:rsidRPr="00DB6E4E">
        <w:rPr>
          <w:rFonts w:ascii="Palatino Linotype" w:hAnsi="Palatino Linotype" w:cstheme="majorBidi"/>
          <w:szCs w:val="24"/>
        </w:rPr>
        <w:fldChar w:fldCharType="begin" w:fldLock="1"/>
      </w:r>
      <w:r w:rsidR="00B22D76" w:rsidRPr="00DB6E4E">
        <w:rPr>
          <w:rFonts w:ascii="Palatino Linotype" w:hAnsi="Palatino Linotype" w:cstheme="majorBidi"/>
          <w:szCs w:val="24"/>
        </w:rPr>
        <w:instrText>ADDIN CSL_CITATION {"citationItems":[{"id":"ITEM-1","itemData":{"ISSN":"1323-6903","abstract":"Undoubtedly, the banking system in India has witnessed the fastest growth in comparison to other governing sectors of the Indian economy. The solvency and sustenance of banks do not only concern the depositors but equally to the other participants viz., the employees, the customers, the shareholders and the country as a whole. The banking system's assistance in smooth functioning of trade and commerce across the globe indicates an imperative need for its timely and regular monitoring. The study aims at analysing the financial and operating performance of the Indian Banking Sector. The HDFC and ICICI as the largest private banks and State Bank of India (SBI) and Syndicate Bank as the largest public sector banks are selected for this purpose. The evaluation is done using CAMELS rating system as recommended by Padmanabhan Committee. The various ratios, noted below, are considered for the study based on CAMELS acronym in the following order. Capital Adequacy ratios Asset Quality ratios Management Capability ratios Earnings Quality ratios Liquidity ratios and Sensitivity to market risk The period, considered, is from 2010-2019. The descriptive statistics is used to analyse the results thereof. Correlation and t-test are executed to test the hypothesis.","author":[{"dropping-particle":"","family":"Banu","given":"Meraj","non-dropping-particle":"","parse-names":false,"suffix":""},{"dropping-particle":"","family":"Vepa","given":"Sudha","non-dropping-particle":"","parse-names":false,"suffix":""}],"container-title":"Journal of Contemporary Issues in Business and Government","id":"ITEM-1","issue":"1","issued":{"date-parts":[["2021"]]},"page":"2135-2153","title":"A Financial Performance of Indian Banks Using CAMELS Rating System","type":"article-journal","volume":"27"},"uris":["http://www.mendeley.com/documents/?uuid=a051752e-6e32-43ba-8445-199f1048c1f4"]},{"id":"ITEM-2","itemData":{"DOI":"10.12688/f1000research.151628.2","ISSN":"20461402","PMID":"39944613","abstract":"Background: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-2","issued":{"date-parts":[["2025"]]},"title":"The dynamics of financial performance and market performance in the context of Indian banking industry","type":"article-journal","volume":"13"},"uris":["http://www.mendeley.com/documents/?uuid=3f949c5c-2d87-4e73-867b-2ea8d142803e"]}],"mendeley":{"formattedCitation":"(Banu &amp; Vepa, 2021; Sar &amp; Panigrahi, 2025)","plainTextFormattedCitation":"(Banu &amp; Vepa, 2021; Sar &amp; Panigrahi, 2025)","previouslyFormattedCitation":"(Banu &amp; Vepa, 2021; Sar &amp; Panigrahi, 2025)"},"properties":{"noteIndex":0},"schema":"https://github.com/citation-style-language/schema/raw/master/csl-citation.json"}</w:instrText>
      </w:r>
      <w:r w:rsidR="00B22D76" w:rsidRPr="00DB6E4E">
        <w:rPr>
          <w:rFonts w:ascii="Palatino Linotype" w:hAnsi="Palatino Linotype" w:cstheme="majorBidi"/>
          <w:szCs w:val="24"/>
        </w:rPr>
        <w:fldChar w:fldCharType="separate"/>
      </w:r>
      <w:r w:rsidR="00B22D76" w:rsidRPr="00DB6E4E">
        <w:rPr>
          <w:rFonts w:ascii="Palatino Linotype" w:hAnsi="Palatino Linotype" w:cstheme="majorBidi"/>
          <w:noProof/>
          <w:szCs w:val="24"/>
        </w:rPr>
        <w:t>(Banu &amp; Vepa, 2021; Sar &amp; Panigrahi, 2025)</w:t>
      </w:r>
      <w:r w:rsidR="00B22D7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7E69B60F" w14:textId="4FFB46E9" w:rsidR="009C781E" w:rsidRPr="00DB6E4E" w:rsidRDefault="009C781E" w:rsidP="00DB6E4E">
      <w:pPr>
        <w:spacing w:after="120" w:line="240" w:lineRule="auto"/>
        <w:ind w:firstLine="720"/>
        <w:contextualSpacing/>
        <w:jc w:val="lowKashida"/>
        <w:rPr>
          <w:rFonts w:ascii="Palatino Linotype" w:hAnsi="Palatino Linotype" w:cstheme="majorBidi"/>
          <w:noProof/>
          <w:szCs w:val="24"/>
        </w:rPr>
      </w:pPr>
      <w:r w:rsidRPr="00DB6E4E">
        <w:rPr>
          <w:rFonts w:ascii="Palatino Linotype" w:hAnsi="Palatino Linotype" w:cstheme="majorBidi"/>
          <w:szCs w:val="24"/>
        </w:rPr>
        <w:t xml:space="preserve">Capital adequacy is proxied by the Capital Adequacy Ratio (CAR), reflecting a bank’s ability to absorb risk and maintain financial stability. A higher CAR provides a positive signal to investors and is positively associated with share price growth </w:t>
      </w:r>
      <w:r w:rsidR="00AC77E9" w:rsidRPr="00DB6E4E">
        <w:rPr>
          <w:rFonts w:ascii="Palatino Linotype" w:hAnsi="Palatino Linotype" w:cstheme="majorBidi"/>
          <w:szCs w:val="24"/>
        </w:rPr>
        <w:fldChar w:fldCharType="begin" w:fldLock="1"/>
      </w:r>
      <w:r w:rsidR="00AC77E9" w:rsidRPr="00DB6E4E">
        <w:rPr>
          <w:rFonts w:ascii="Palatino Linotype" w:hAnsi="Palatino Linotype" w:cstheme="majorBidi"/>
          <w:szCs w:val="24"/>
        </w:rPr>
        <w:instrText>ADDIN CSL_CITATION {"citationItems":[{"id":"ITEM-1","itemData":{"DOI":"10.13106/jafeb.2020.vol7.no11.101","ISSN":"22884645","abstract":"The research was conducted with the aim of knowing the effect of the CAMELS ratio either partially or simultaneously on stock prices. The CAMELS ratio (Capital, Asset Quality, Management, Earning, Liquidity) is used to measure the soundness of a bank, where by the better the soundness of the bank, the more profitable the bank will be for potential investors and other interested parties. The population of this research consists of the four state banks documented on the Indonesia Stock Exchange over the 2012-2019 period. The sample selection technique is a saturated sampling. This study provides the results that partially CAR has a significant effect on the share price of government banks listed on the IDX. Meanwhile, NPL, NPM, ROA, and LDR do not have a significant effect on stock prices of state banks listed on the IDX. The results of the regression analysis show that, together the CAMELS ratio, which is proxied by CAR, NPLS, NPM, ROA, and LDR has a positive and significant influence on the share price of state-owned banks documented on the Indonesia Stock Exchange, so this can be used as a reference for investors in predicting the share price of a state-owned bank before investing in shares.","author":[{"dropping-particle":"","family":"Nugroho","given":"Mulyanto","non-dropping-particle":"","parse-names":false,"suffix":""},{"dropping-particle":"","family":"Halik","given":"Abdul","non-dropping-particle":"","parse-names":false,"suffix":""},{"dropping-particle":"","family":"Arif","given":"Donny","non-dropping-particle":"","parse-names":false,"suffix":""}],"container-title":"Journal of Asian Finance, Economics and Business","id":"ITEM-1","issue":"11","issued":{"date-parts":[["2020"]]},"page":"101-106","title":"Effect of CAMELS Ratio on Indonesia Banking Share Prices","type":"article-journal","volume":"7"},"uris":["http://www.mendeley.com/documents/?uuid=598a7383-bf05-40ab-aa75-8df23c1b4128"]},{"id":"ITEM-2","itemData":{"author":[{"dropping-particle":"","family":"Pratama","given":"Muhammad Jordy","non-dropping-particle":"","parse-names":false,"suffix":""},{"dropping-particle":"","family":"Yusnita","given":"Rita Tri","non-dropping-particle":"","parse-names":false,"suffix":""},{"dropping-particle":"","family":"Lestari","given":"Suci Putri","non-dropping-particle":"","parse-names":false,"suffix":""}],"id":"ITEM-2","issue":"2","issued":{"date-parts":[["2024"]]},"page":"297-312","title":"Analysis Of Current Ratio And Debt To Equity On Return On Equity ( Case Study of a Pulp and Paper Sub-Sector Company for the 2017- 2022 Period ) Analisis Current Ratio Dan Debt To Equity Terhadap Return On Equity ( Studi Kasus pada Perusahaan Sub Sektor Pulp dan Kertas Periode","type":"article-journal","volume":"3"},"uris":["http://www.mendeley.com/documents/?uuid=6bbfe1e0-8430-461a-a44f-cad2b56d4337"]},{"id":"ITEM-3","itemData":{"DOI":"10.58812/wsaf.v2i02.1033","ISSN":"2986-9404","abstract":"This study aims to determine the effect of Capital Adequacy Ratio, Return On Assets, Loan To Deposit Ratio and Non Performing Loan on Stock Prices in Companies listed on the IDX for the 2022 Period. The research method used is a descriptive method with a quantitative approach. The population in this study is the financial statements of Conventional Banking. The data method used in this study is multiple linear regression analysis, classical assumption tests including normality tests, multicollinearity tests, heteroscedasticity tests. Significance tests include t-tests, as well as correlation coefficients and determination coefficients at a significance level of 5%. Data are processed and analyzed using the SPSS version 27 application program. The results of this study indicate that partially the Capital Adequacy Ratio has a significant negative effect on stock prices, with a Tcount value of -2.875 &lt;0.05. Partially, Return On Assets has a significant positive effect on Stock Price, with a calculated T value (7.515) &gt;&lt; Ttable 2.034 with a significance value of 0.000 &lt; 0.05. Partially, Loan to Deposit Ratio has a significant negative effect on stock price, with a calculated T value (- 3.684) &lt; Ttable 2.034 with a significance value of 0.001 &lt; 0.05. Partially, Non Performing Loan has a significant negative effect on Stock Price, with a calculated T value (-2.991) &lt; Ttable 2.034 with a significance value of 0.005 &lt; 0.05.","author":[{"dropping-particle":"","family":"Lestari","given":"Rafika Febriana Dwi","non-dropping-particle":"","parse-names":false,"suffix":""},{"dropping-particle":"","family":"Susbiyani","given":"Arik","non-dropping-particle":"","parse-names":false,"suffix":""},{"dropping-particle":"","family":"Suharsono","given":"Riyanto Setiawan","non-dropping-particle":"","parse-names":false,"suffix":""}],"container-title":"West Science Accounting and Finance","id":"ITEM-3","issue":"02","issued":{"date-parts":[["2024"]]},"page":"212-224","title":"The Effect of Capital Adequacy Ratio, Return on Asset, Loan to Deposit Ratio and Non Performing Loan on Stock Prices of Banking Companies Listed on the Indonesia Stock Exchange in the 2022 Period","type":"article-journal","volume":"2"},"uris":["http://www.mendeley.com/documents/?uuid=26e33126-b526-4c9f-ad39-81d116c676e4"]}],"mendeley":{"formattedCitation":"(Lestari et al., 2024; Nugroho et al., 2020; Pratama et al., 2024)","manualFormatting":"(Lestari et al., 2024; Nugroho et al., 2020)","plainTextFormattedCitation":"(Lestari et al., 2024; Nugroho et al., 2020; Pratama et al., 2024)","previouslyFormattedCitation":"(Lestari et al., 2024; Nugroho et al., 2020; Pratama et al., 2024)"},"properties":{"noteIndex":0},"schema":"https://github.com/citation-style-language/schema/raw/master/csl-citation.json"}</w:instrText>
      </w:r>
      <w:r w:rsidR="00AC77E9" w:rsidRPr="00DB6E4E">
        <w:rPr>
          <w:rFonts w:ascii="Palatino Linotype" w:hAnsi="Palatino Linotype" w:cstheme="majorBidi"/>
          <w:szCs w:val="24"/>
        </w:rPr>
        <w:fldChar w:fldCharType="separate"/>
      </w:r>
      <w:r w:rsidR="00AC77E9" w:rsidRPr="00DB6E4E">
        <w:rPr>
          <w:rFonts w:ascii="Palatino Linotype" w:hAnsi="Palatino Linotype" w:cstheme="majorBidi"/>
          <w:noProof/>
          <w:szCs w:val="24"/>
        </w:rPr>
        <w:t>(Lestari et al., 2024; Nugroho et al., 2020)</w:t>
      </w:r>
      <w:r w:rsidR="00AC77E9"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4A5076DD" w14:textId="316DBE15" w:rsidR="009C781E"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t xml:space="preserve">Asset quality is proxied by Net Non-Performing Assets (NNPA). An increase in NNPA indicates higher credit risk, which may reduce profitability and investor confidence, thereby exerting a negative and significant effect on share price growth </w:t>
      </w:r>
      <w:r w:rsidR="00AC77E9" w:rsidRPr="00DB6E4E">
        <w:rPr>
          <w:rFonts w:ascii="Palatino Linotype" w:hAnsi="Palatino Linotype" w:cstheme="majorBidi"/>
          <w:szCs w:val="24"/>
        </w:rPr>
        <w:fldChar w:fldCharType="begin" w:fldLock="1"/>
      </w:r>
      <w:r w:rsidR="00AC77E9" w:rsidRPr="00DB6E4E">
        <w:rPr>
          <w:rFonts w:ascii="Palatino Linotype" w:hAnsi="Palatino Linotype" w:cstheme="majorBidi"/>
          <w:szCs w:val="24"/>
        </w:rPr>
        <w:instrText>ADDIN CSL_CITATION {"citationItems":[{"id":"ITEM-1","itemData":{"DOI":"10.1177/0972262920914106","ISSN":"22495304","abstract":"At present, the Indian banking sector is facing an arduous time in the form of an increasing trend in non-performing assets (NPAs), which is testing its strength and resilience. The present study aims to explore the NPA–profitability relationship for the Indian banking sector, so as to determine the gravity of the impact that NPAs have on bank profitability. Further, other bank-specific, industry-specific and macroeconomic factors impacting banking profits have been taken under consideration. A balanced panel data set comprising 37 scheduled commercial banks of India over a time frame of 14 years (2005–2018) has been used for the purpose of required analysis. Conclusions have been drawn employing fixed effect and random effect panel regression models. Due to the presence of heteroskedasticity, results for robust standard error have been reported. A highly negative correlation exists between NPA and the two profitability measures return on assets (ROA) and return on equity (ROE). The results of this study have established NPA as the major detractor of banking industry’s profits because NPA carries the most negative regression coefficient which is highly significant. It implies that declining credit quality hampers banks’ performance and leads to their collapse.","author":[{"dropping-particle":"","family":"Gaur","given":"Dolly","non-dropping-particle":"","parse-names":false,"suffix":""},{"dropping-particle":"","family":"Mohapatra","given":"Dipti Ranjan","non-dropping-particle":"","parse-names":false,"suffix":""}],"container-title":"Vision","id":"ITEM-1","issue":"2","issued":{"date-parts":[["2021"]]},"page":"180-191","title":"Non-performing Assets and Profitability: Case of Indian Banking Sector","type":"article-journal","volume":"25"},"uris":["http://www.mendeley.com/documents/?uuid=4bac3b78-fa82-4bd4-8a24-459189052a4c"]},{"id":"ITEM-2","itemData":{"DOI":"10.1108/AJAR-11-2020-0110","ISSN":"24434175","abstract":"Purpose: Analysts expect reduced bank earnings as a result of the impact of the increase in bad loans. Banks have strategically created high provision coverage ratios allocating large funds for possible deterioration in asset quality. Given the expected faster growth and recovery in the bank lending sector, investors have always been interested in banking stocks, despite the waves of non-performing assets (NPAs) and recessionary influences. Historical references reiterate that the banking stocks have been better performers in their returns compared to the capital markets. Design/methodology/approach: The study aims to examine the impact of key accounting variables on the stock prices of Indian banks in the panel data framework. Findings: The current study explores the impact of accounting variables on the market prices of shares. After the study, it may be concluded that earning per share (EPS), return on equity (ROE), capital adequacy ratio (CAR) and net interest margin (NIM) have an incremental impact on the prices of banking stocks, and the current ratio (CR) and NPAs have a detrimental impact on them. Practical implications: Studying their impact on stock prices is the most convenient fundamental analysis that could be conducted on the stock prices of the banks. Originality/value: To provide insights into the association of the accounting and regulatory variables there is a severe limitation in the quantity of the literature available. This study has attempted to build a relationship between the accounting and regulatory variables and the stock prices of banking stocks, to help investors with some reliable methods to estimate the stock prices in the future.","author":[{"dropping-particle":"","family":"Sharma","given":"Sudhi","non-dropping-particle":"","parse-names":false,"suffix":""},{"dropping-particle":"","family":"Bhardwaj","given":"Indira","non-dropping-particle":"","parse-names":false,"suffix":""},{"dropping-particle":"","family":"Kishore","given":"Kamal","non-dropping-particle":"","parse-names":false,"suffix":""}],"container-title":"Asian Journal of Accounting Research","id":"ITEM-2","issue":"2","issued":{"date-parts":[["2023"]]},"page":"184-193","title":"Capturing the impact of accounting and regulatory variables on stock prices of banks – an empirical study of Indian banks in panel data modeling","type":"article-journal","volume":"8"},"uris":["http://www.mendeley.com/documents/?uuid=f879ce24-a371-498e-9a32-4814d4c8d697"]}],"mendeley":{"formattedCitation":"(Gaur &amp; Mohapatra, 2021; Sharma et al., 2023)","plainTextFormattedCitation":"(Gaur &amp; Mohapatra, 2021; Sharma et al., 2023)","previouslyFormattedCitation":"(Gaur &amp; Mohapatra, 2021; Sharma et al., 2023)"},"properties":{"noteIndex":0},"schema":"https://github.com/citation-style-language/schema/raw/master/csl-citation.json"}</w:instrText>
      </w:r>
      <w:r w:rsidR="00AC77E9" w:rsidRPr="00DB6E4E">
        <w:rPr>
          <w:rFonts w:ascii="Palatino Linotype" w:hAnsi="Palatino Linotype" w:cstheme="majorBidi"/>
          <w:szCs w:val="24"/>
        </w:rPr>
        <w:fldChar w:fldCharType="separate"/>
      </w:r>
      <w:r w:rsidR="00AC77E9" w:rsidRPr="00DB6E4E">
        <w:rPr>
          <w:rFonts w:ascii="Palatino Linotype" w:hAnsi="Palatino Linotype" w:cstheme="majorBidi"/>
          <w:noProof/>
          <w:szCs w:val="24"/>
        </w:rPr>
        <w:t>(Gaur &amp; Mohapatra, 2021; Sharma et al., 2023)</w:t>
      </w:r>
      <w:r w:rsidR="00AC77E9"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1985E84A" w14:textId="29ACD02B" w:rsidR="009C781E"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t xml:space="preserve">Management efficiency is proxied by the Current Account Savings Account (CASA) ratio. Although a higher CASA ratio reflects the bank’s ability to mobilize low-cost funds, increased operational and promotional costs may suppress profitability and negatively affect share price growth </w:t>
      </w:r>
      <w:r w:rsidR="00AC77E9" w:rsidRPr="00DB6E4E">
        <w:rPr>
          <w:rFonts w:ascii="Palatino Linotype" w:hAnsi="Palatino Linotype" w:cstheme="majorBidi"/>
          <w:szCs w:val="24"/>
        </w:rPr>
        <w:fldChar w:fldCharType="begin" w:fldLock="1"/>
      </w:r>
      <w:r w:rsidR="00AC77E9" w:rsidRPr="00DB6E4E">
        <w:rPr>
          <w:rFonts w:ascii="Palatino Linotype" w:hAnsi="Palatino Linotype" w:cstheme="majorBidi"/>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industry","type":"article-journal","volume":"13"},"uris":["http://www.mendeley.com/documents/?uuid=3f949c5c-2d87-4e73-867b-2ea8d142803e"]},{"id":"ITEM-2","itemData":{"DOI":"10.47191/ijcsrr/v7-i12-12","abstract":"Technological advances have brought updates to business processes and banking services in Indonesia, namely the birth of banks that provide digital-based services to customers or called Digital Banks. The development of this digital banking ecosystem is supported by the economic conditions that have recovered after COVID pandemic ended. Digital transformation has certainly encouraged the emergence of several Digital Banks that have become Game Changers in the financial services business by offering convenience in digital products and services. A number of Digital Banks have succeeded in becoming public companies, recording credit growth, managing the non-performing loan ratio, increasing the growth of third-party funds, especially for online savings products through the digital banking products offered, and increasing the profitability ratio. Objective of this research is to determine the effect of Loan disbursement, NPL and CASA (Current Account-Saving Account) Ratio on the Profitability of Digital Bank that listed on Indonesia Stock Exchange for the 2018-2024 research year. The population data used is go-public Digital Bank and the sample is Digital Banks that are included in the Bank Group category based on Core Capital 1 and 2. Secondary data that used in this research are quarterly and annual bank report which are available on websites of Indonesian Stock Exchange and Financial Services Authority.","author":[{"dropping-particle":"","family":"Murtopo","given":"Ary Dwi Prasetyo","non-dropping-particle":"","parse-names":false,"suffix":""},{"dropping-particle":"","family":"Setyawan","given":"Ignatius Roni","non-dropping-particle":"","parse-names":false,"suffix":""}],"container-title":"International Journal of Current Science Research and Review","id":"ITEM-2","issue":"12","issued":{"date-parts":[["2024"]]},"page":"8749-8758","title":"Effect of Loan Disbursement, Non-Performing Loan (NPL) and Current Account-Saving Account (CASA) Ratio on The Profitability of Digital Bank Listed on Indonesia Stock Exchange","type":"article-journal","volume":"07"},"uris":["http://www.mendeley.com/documents/?uuid=d4b8f309-0334-4222-a1b5-68c7b1356c49"]}],"mendeley":{"formattedCitation":"(Murtopo &amp; Setyawan, 2024; Sar &amp; Panigrahi, 2025)","plainTextFormattedCitation":"(Murtopo &amp; Setyawan, 2024; Sar &amp; Panigrahi, 2025)","previouslyFormattedCitation":"(Murtopo &amp; Setyawan, 2024; Sar &amp; Panigrahi, 2025)"},"properties":{"noteIndex":0},"schema":"https://github.com/citation-style-language/schema/raw/master/csl-citation.json"}</w:instrText>
      </w:r>
      <w:r w:rsidR="00AC77E9" w:rsidRPr="00DB6E4E">
        <w:rPr>
          <w:rFonts w:ascii="Palatino Linotype" w:hAnsi="Palatino Linotype" w:cstheme="majorBidi"/>
          <w:szCs w:val="24"/>
        </w:rPr>
        <w:fldChar w:fldCharType="separate"/>
      </w:r>
      <w:r w:rsidR="00AC77E9" w:rsidRPr="00DB6E4E">
        <w:rPr>
          <w:rFonts w:ascii="Palatino Linotype" w:hAnsi="Palatino Linotype" w:cstheme="majorBidi"/>
          <w:noProof/>
          <w:szCs w:val="24"/>
        </w:rPr>
        <w:t>(Murtopo &amp; Setyawan, 2024; Sar &amp; Panigrahi, 2025)</w:t>
      </w:r>
      <w:r w:rsidR="00AC77E9"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7A487807" w14:textId="7ECC6D42" w:rsidR="009C781E"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t xml:space="preserve">Earnings ability is proxied by the Net Interest Margin (NIM), which captures the effectiveness of banks in generating net interest income. A higher NIM indicates superior intermediation performance and has a positive and significant impact on share price growth </w:t>
      </w:r>
      <w:r w:rsidR="006B2AD6" w:rsidRPr="00DB6E4E">
        <w:rPr>
          <w:rFonts w:ascii="Palatino Linotype" w:hAnsi="Palatino Linotype" w:cstheme="majorBidi"/>
          <w:szCs w:val="24"/>
        </w:rPr>
        <w:fldChar w:fldCharType="begin" w:fldLock="1"/>
      </w:r>
      <w:r w:rsidR="006B2AD6" w:rsidRPr="00DB6E4E">
        <w:rPr>
          <w:rFonts w:ascii="Palatino Linotype" w:hAnsi="Palatino Linotype" w:cstheme="majorBidi"/>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id":"ITEM-2","itemData":{"author":[{"dropping-particle":"","family":"Journal","given":"Indonesian","non-dropping-particle":"","parse-names":false,"suffix":""},{"dropping-particle":"","family":"Analytics","given":"Business","non-dropping-particle":"","parse-names":false,"suffix":""}],"id":"ITEM-2","issue":"2","issued":{"date-parts":[["2025"]]},"page":"2065-2082","title":"1* , 2 , 3 , 4","type":"article-journal","volume":"5"},"uris":["http://www.mendeley.com/documents/?uuid=2dab37e3-3b92-424e-96bd-b2e50973ed73"]}],"mendeley":{"formattedCitation":"(Journal &amp; Analytics, 2025; Sar &amp; Panigrahi, 2025)","manualFormatting":"(Sihotang et al, 2025; Sar &amp; Panigrahi, 2025)","plainTextFormattedCitation":"(Journal &amp; Analytics, 2025; Sar &amp; Panigrahi, 2025)","previouslyFormattedCitation":"(Journal &amp; Analytics, 2025; Sar &amp; Panigrahi, 2025)"},"properties":{"noteIndex":0},"schema":"https://github.com/citation-style-language/schema/raw/master/csl-citation.json"}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(Sihotang et al, 2025; Sar &amp; Panigrahi, 2025)</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11561C08" w14:textId="05AB7CE3" w:rsidR="009C781E"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lastRenderedPageBreak/>
        <w:t xml:space="preserve">Liquidity is proxied by the Liquid Assets to Total Assets (LATA) ratio. Adequate liquidity is essential for maintaining operational stability and investor confidence and has been shown to positively influence share price </w:t>
      </w:r>
      <w:r w:rsidR="006B2AD6" w:rsidRPr="00DB6E4E">
        <w:rPr>
          <w:rFonts w:ascii="Palatino Linotype" w:hAnsi="Palatino Linotype" w:cstheme="majorBidi"/>
          <w:szCs w:val="24"/>
        </w:rPr>
        <w:fldChar w:fldCharType="begin" w:fldLock="1"/>
      </w:r>
      <w:r w:rsidR="00DE7378" w:rsidRPr="00DB6E4E">
        <w:rPr>
          <w:rFonts w:ascii="Palatino Linotype" w:hAnsi="Palatino Linotype" w:cstheme="majorBidi"/>
          <w:szCs w:val="24"/>
        </w:rPr>
        <w:instrText>ADDIN CSL_CITATION {"citationItems":[{"id":"ITEM-1","itemData":{"DOI":"10.5267/j.ac.2020.10.014","ISSN":"23697407","abstract":"This study investigates the impact of liquidity on bank profitability. Particularly, bank profitability is measured by return on assets (ROA) while liquid assets to total assets (LATA) and total loans to total deposits (TLTD) are indicators of bank liquidity. A panel data of 26 Vietnamese commercial banks are obtained over the period 2013-2018. The GMM estimation is adopted to test the significant effect of liquidity on profitability of Vietnamese commercial banks. The results reveal that profitability (ROA) was negatively influenced by liquid asset ratio (LATA) and positively correlated to loan-to-deposit ratio (TLTD). Further, bank profitability was also affected by macroeconomic control variables like economic growth (EG) and inflation (INF). The results are not only essential for bank managers but also provide scholars a valuable reference.","author":[{"dropping-particle":"","family":"Doan","given":"Thu Trang Thi","non-dropping-particle":"","parse-names":false,"suffix":""},{"dropping-particle":"","family":"Bui","given":"Toan Ngoc","non-dropping-particle":"","parse-names":false,"suffix":""}],"container-title":"Accounting","id":"ITEM-1","issue":"1","issued":{"date-parts":[["2021"]]},"page":"59-64","title":"How does liquidity influence bank profitability? A panel data approach","type":"article-journal","volume":"7"},"uris":["http://www.mendeley.com/documents/?uuid=19bfece4-b5ba-4c28-bd92-40795a3750a5"]},{"id":"ITEM-2","itemData":{"DOI":"10.1016/j.najef.2021.101557","ISSN":"10629408","abstract":"We introduce a novel two-factor model, incorporating market and liquidity factors, which outperforms the CAPM and Fama–French factor models when applied to stock market returns in Shanghai and Shenzhen over 2000–2019. We compute the liquidity factor as the return on a liquidity-mimicking portfolio, which we construct simultaneously using two measures of liquidity (one of them capturing liquidity's trading-quantity dimension, and the other associated with its price-impact dimension). Unlike the CAPM and Fama–French factor models, the advocated two-factor model is able to account for numerous return anomalies, such as size, book-to-market ratio, earnings-to-price ratio, cash-flow-to-price ratio, return-on-equity, and volatility. The model's performance is similar when applied separately to the Shanghai and Shenzhen stock markets. Furthermore, it fares similarly over the 1994–2004 and 2005–2019 sub-periods. This result is somewhat surprising, because liquidity seems likely to have been substantially lower over 1994–2004, as the Chinese markets were noticeably smaller, and the critical market reform aimed at eliminating non-tradable shares by the end of 2006 did not occur until 2005.","author":[{"dropping-particle":"","family":"Zhang","given":"Tianyang","non-dropping-particle":"","parse-names":false,"suffix":""},{"dropping-particle":"","family":"Lence","given":"Sergio H.","non-dropping-particle":"","parse-names":false,"suffix":""}],"container-title":"North American Journal of Economics and Finance","id":"ITEM-2","issue":"April 2021","issued":{"date-parts":[["2022"]]},"page":"101557","publisher":"Elsevier Inc.","title":"Liquidity and asset pricing: Evidence from the Chinese stock markets","type":"article-journal","volume":"59"},"uris":["http://www.mendeley.com/documents/?uuid=22a69a65-70ba-4b31-ba50-059348f23b8b"]}],"mendeley":{"formattedCitation":"(Doan &amp; Bui, 2021; Zhang &amp; Lence, 2022)","plainTextFormattedCitation":"(Doan &amp; Bui, 2021; Zhang &amp; Lence, 2022)","previouslyFormattedCitation":"(Doan &amp; Bui, 2021; Zhang &amp; Lence, 2022)"},"properties":{"noteIndex":0},"schema":"https://github.com/citation-style-language/schema/raw/master/csl-citation.json"}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(Doan &amp; Bui, 2021; Zhang &amp; Lence, 2022)</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0CFC5F67" w14:textId="7C6917A8" w:rsidR="0068326D" w:rsidRPr="00DB6E4E" w:rsidRDefault="009C781E" w:rsidP="00DB6E4E">
      <w:pPr>
        <w:spacing w:after="120" w:line="240" w:lineRule="auto"/>
        <w:ind w:firstLine="720"/>
        <w:contextualSpacing/>
        <w:jc w:val="lowKashida"/>
        <w:rPr>
          <w:rFonts w:ascii="Palatino Linotype" w:hAnsi="Palatino Linotype" w:cstheme="majorBidi"/>
          <w:szCs w:val="24"/>
        </w:rPr>
      </w:pPr>
      <w:r w:rsidRPr="00DB6E4E">
        <w:rPr>
          <w:rFonts w:ascii="Palatino Linotype" w:hAnsi="Palatino Linotype" w:cstheme="majorBidi"/>
          <w:szCs w:val="24"/>
        </w:rPr>
        <w:t xml:space="preserve">Bank size is included as a control variable and measured by total assets. Larger banks tend to exhibit greater stability and diversification opportunities, resulting in a positive relationship between bank size and share price growth </w:t>
      </w:r>
      <w:r w:rsidR="006B2AD6" w:rsidRPr="00DB6E4E">
        <w:rPr>
          <w:rFonts w:ascii="Palatino Linotype" w:hAnsi="Palatino Linotype" w:cstheme="majorBidi"/>
          <w:szCs w:val="24"/>
        </w:rPr>
        <w:fldChar w:fldCharType="begin" w:fldLock="1"/>
      </w:r>
      <w:r w:rsidR="006B2AD6" w:rsidRPr="00DB6E4E">
        <w:rPr>
          <w:rFonts w:ascii="Palatino Linotype" w:hAnsi="Palatino Linotype" w:cstheme="majorBidi"/>
          <w:szCs w:val="24"/>
        </w:rPr>
        <w:instrText>ADDIN CSL_CITATION {"citationItems":[{"id":"ITEM-1","itemData":{"DOI":"10.37641/jimkes.v12i6.2916","ISSN":"2337-7860","abstract":"This study examines the factors influencing stock performance in banking institutions listed on the Indonesia Stock Exchange (IDX) during the 2019–2023 period. A quantitative approach using panel data regression is applied to assess the impact of internal financial metrics—such as Earningss per Share (EPS), Dividend per Share (DPS), Price-to-Earningss Ratio (P/E), and Book Value per Share (BVPS)—as well as external macroeconomic variables, including inflation, Gross Domestic Product (GDP), and bank size, on Market Price per Share (MPS). The study employs the random-effect model, along with statistical tests such as Chow, Hausman, and Lagrange Multiplier, to determine the most suitable regression model. The results reveal that EPS, BVPS, and bank size have significant positive impacts on MPS, indicating that higher profitability, strong intrinsic equity value, and larger institutional size are associated with better stock performance. In contrast, DPS, P/E, inflation, and GDP show no significant influence, suggesting that investors in the banking sector focus more on other aspects, such as EPS, BVPS, and bank size rather than the amount of dividends distributed, share price compared to profitability, inflation, and GDP. These findings offer practical implications for bank management to enhance financial performance and attract investments by focusing on improving profitability and equity growth. Additionally, this study serves as a valuable reference for investors in developing stock selection strategies by emphasizing the importance of strong fundamentals. Furthermore, the research identifies limitations in existing variables in capturing stock volatility and recommends future studies to expand the scope by incorporating additional market dynamics and longer observation periods.","author":[{"dropping-particle":"","family":"Syahid","given":"Aliah Muthiah","non-dropping-particle":"","parse-names":false,"suffix":""},{"dropping-particle":"","family":"Pitriana","given":"Ida","non-dropping-particle":"","parse-names":false,"suffix":""},{"dropping-particle":"","family":"Lestari","given":"Henny Setyo","non-dropping-particle":"","parse-names":false,"suffix":""}],"container-title":"Jurnal Ilmiah Manajemen Kesatuan","id":"ITEM-1","issue":"6","issued":{"date-parts":[["2024"]]},"page":"2267-2276","title":"Internal and External Determinants of Banking Stock Performance: Evidence From The Indonesia Stock Exchange","type":"article-journal","volume":"12"},"uris":["http://www.mendeley.com/documents/?uuid=a7d19ef3-8d66-4e31-873a-fa744c7e1add"]}],"mendeley":{"formattedCitation":"(Syahid et al., 2024)","plainTextFormattedCitation":"(Syahid et al., 2024)","previouslyFormattedCitation":"(Syahid et al., 2024)"},"properties":{"noteIndex":0},"schema":"https://github.com/citation-style-language/schema/raw/master/csl-citation.json"}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(Syahid et al., 2024)</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17B9033D" w14:textId="77777777" w:rsidR="009C781E" w:rsidRPr="00DB6E4E" w:rsidRDefault="009C781E" w:rsidP="00DB6E4E">
      <w:pPr>
        <w:spacing w:after="120" w:line="240" w:lineRule="auto"/>
        <w:contextualSpacing/>
        <w:jc w:val="lowKashida"/>
        <w:rPr>
          <w:rFonts w:ascii="Palatino Linotype" w:hAnsi="Palatino Linotype"/>
          <w:b/>
          <w:bCs/>
          <w:szCs w:val="24"/>
        </w:rPr>
      </w:pPr>
    </w:p>
    <w:p w14:paraId="77D4FB1B" w14:textId="4E5522FB" w:rsidR="00DE63D6" w:rsidRPr="00DB6E4E" w:rsidRDefault="00DE63D6" w:rsidP="00DB6E4E">
      <w:pPr>
        <w:spacing w:after="120" w:line="240" w:lineRule="auto"/>
        <w:contextualSpacing/>
        <w:rPr>
          <w:rFonts w:ascii="Palatino Linotype" w:hAnsi="Palatino Linotype"/>
          <w:b/>
          <w:bCs/>
          <w:szCs w:val="24"/>
        </w:rPr>
      </w:pPr>
      <w:r w:rsidRPr="00DB6E4E">
        <w:rPr>
          <w:rFonts w:ascii="Palatino Linotype" w:hAnsi="Palatino Linotype"/>
          <w:b/>
          <w:bCs/>
          <w:szCs w:val="24"/>
        </w:rPr>
        <w:t>LITERATURE REVIEW</w:t>
      </w:r>
    </w:p>
    <w:p w14:paraId="0043CB6E" w14:textId="718D486D"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The banking sector plays a pivotal role in the financial system due to its unique ability to create credit through balance sheet operations, where assets represent the use of funds and liabilities and equity constitute funding sources </w:t>
      </w:r>
      <w:r w:rsidR="006B2AD6" w:rsidRPr="00DB6E4E">
        <w:rPr>
          <w:rFonts w:ascii="Palatino Linotype" w:hAnsi="Palatino Linotype" w:cstheme="majorBidi"/>
          <w:szCs w:val="24"/>
        </w:rPr>
        <w:fldChar w:fldCharType="begin" w:fldLock="1"/>
      </w:r>
      <w:r w:rsidR="006B2AD6" w:rsidRPr="00DB6E4E">
        <w:rPr>
          <w:rFonts w:ascii="Palatino Linotype" w:hAnsi="Palatino Linotype" w:cstheme="majorBidi"/>
          <w:szCs w:val="24"/>
        </w:rPr>
        <w:instrText>ADDIN CSL_CITATION {"citationItems":[{"id":"ITEM-1","itemData":{"DOI":"10.1186/s40854-021-00264-y","ISBN":"4085402100264","ISSN":"21994730","abstract":"This paper presents an analytical framework that describes the business model of banks. It draws on the classical theory of banking and the literature on digital transformation. It provides an explanation for existing trends and, by extending the theory of the banking firm, it illustrates how financial intermediation will be impacted by innovative financial technology applications. It further reviews the options that established banks will have to consider in order to mitigate the threat to their profitability. Deposit taking and lending are considered in the context of the challenge made from shadow banking and the all-digital banks. The paper contributes to an understanding of the future of banking, providing a framework for scholarly empirical investigation. In the discussion, four possible strategies are proposed for market participants, (1) customer retention, (2) customer acquisition, (3) banking as a service and (4) social media payment platforms. It is concluded that, in an increasingly digital world, trust will remain at the core of banking. That said, liquidity transformation will still have an important role to play. The nature of banking and financial services, however, will change dramatically.","author":[{"dropping-particle":"","family":"Broby","given":"Daniel","non-dropping-particle":"","parse-names":false,"suffix":""}],"container-title":"Financial Innovation","id":"ITEM-1","issue":"1","issued":{"date-parts":[["2021"]]},"publisher":"Springer Berlin Heidelberg","title":"Financial technology and the future of banking","type":"article-journal","volume":"7"},"uris":["http://www.mendeley.com/documents/?uuid=35bee94f-ec1f-46d8-9ac6-a3455d9a8cc5"]}],"mendeley":{"formattedCitation":"(Broby, 2021)","plainTextFormattedCitation":"(Broby, 2021)","previouslyFormattedCitation":"(Broby, 2021)"},"properties":{"noteIndex":0},"schema":"https://github.com/citation-style-language/schema/raw/master/csl-citation.json"}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(Broby, 2021)</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 xml:space="preserve">. As a core component of the financial industry, banking performance significantly influences economic growth and financial stability. Consequently, enhancing firm value through stock price performance has become a primary objective of banking operations, particularly for publicly listed banks </w:t>
      </w:r>
      <w:r w:rsidR="006B2AD6" w:rsidRPr="00DB6E4E">
        <w:rPr>
          <w:rFonts w:ascii="Palatino Linotype" w:hAnsi="Palatino Linotype" w:cstheme="majorBidi"/>
          <w:szCs w:val="24"/>
        </w:rPr>
        <w:fldChar w:fldCharType="begin" w:fldLock="1"/>
      </w:r>
      <w:r w:rsidR="006B2AD6" w:rsidRPr="00DB6E4E">
        <w:rPr>
          <w:rFonts w:ascii="Palatino Linotype" w:hAnsi="Palatino Linotype" w:cstheme="majorBidi"/>
          <w:szCs w:val="24"/>
        </w:rPr>
        <w:instrText>ADDIN CSL_CITATION {"citationItems":[{"id":"ITEM-1","itemData":{"abstract":"The banking industry is an industry in the financial sector which greatly influences the economic development and financial stability of a country. The poor performance of banking in a country can also have a negative impact on the economy of a country, this makes the Banking Industry the industry that is most watched and monitored by all parties. In banking business activities and to encourage banking activities for Indonesia, banking institutions need to increase company value by increasing shares. Firm value can be measured using the price to book value ratio. There are several factors that need to be considered by banking institutions that cause the rise and fall of the price to book value, the ratios that need to be considered include return on equity, net interest margin, loan to funding ratio, capital adequacy ratio, debt to equity ratio and non performing loan. This research was conducted to examine the effect of return on equity, net interest margin, loan to funding ratio, capital adequacy ratio, debt to equity ratio and non performing loan on price to book value simultaneously and partially in the banking industry listed on the Indonesia Stock Exchange, 2016-2018 period. The study used 26 banks with 78 research samples and the data were processed using SmartPLS v.3. The results showed that the return on equity, net interest margin, loan to funding ratio, capital adequacy ratio, debt to equity ratio and non performing loan simultaneously effect to price to book value. Return on equity and capital adequacy ratio partially has a positive and significant effect on price to book value. The loan to funding ratio partially has a negative and significant effect on price to book value. Net interest margin, debt to equity ratio and non performing loan have no significant effect on price to book value. Keywords: Return on Equity, Net Interest Margin, Loan to Funding Ratio, Capital Adequacy Ratio, Debt to Equity Ratio, Non Performing Loan, Price to Book Value","author":[{"dropping-particle":"","family":"Freddy","given":"","non-dropping-particle":"","parse-names":false,"suffix":""},{"dropping-particle":"","family":"Toni","given":"Nagian","non-dropping-particle":"","parse-names":false,"suffix":""}],"container-title":"International Journal of Research and Review","id":"ITEM-1","issue":"9","issued":{"date-parts":[["2020"]]},"page":"242","title":"The Effect of Return on Equity , Net Interest Margin , Loan to Funding Ratio , Capital Adequacy Ratio , Debt to Equity Ratio and Non Performing Loan on Price to Book Value in Banking Industry Listed on the Indonesia Stock Exchange","type":"article-journal","volume":"7"},"uris":["http://www.mendeley.com/documents/?uuid=cb58140f-5a28-40d3-99c7-31da03fe14b3"]}],"mendeley":{"formattedCitation":"(Freddy &amp; Toni, 2020)","plainTextFormattedCitation":"(Freddy &amp; Toni, 2020)","previouslyFormattedCitation":"(Freddy &amp; Toni, 2020)"},"properties":{"noteIndex":0},"schema":"https://github.com/citation-style-language/schema/raw/master/csl-citation.json"}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(Freddy &amp; Toni, 2020)</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024C3F09" w14:textId="1E6DD37E"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Stock performance in the banking sector reflects market perceptions of a bank’s financial health, operational efficiency, and future growth prospects. Share Price Growth (SPG) is commonly used as a market-based indicator to capture changes in firm value and investor expectations. Prior studies suggest that bank stock prices are influenced by both internal fundamentals and external market conditions. While short-term price movements may be driven by speculation, long-term stock performance tends to reflect a bank’s intrinsic value and competitive position </w:t>
      </w:r>
      <w:r w:rsidR="006B2AD6" w:rsidRPr="00DB6E4E">
        <w:rPr>
          <w:rFonts w:ascii="Palatino Linotype" w:hAnsi="Palatino Linotype" w:cstheme="majorBidi"/>
          <w:szCs w:val="24"/>
        </w:rPr>
        <w:fldChar w:fldCharType="begin" w:fldLock="1"/>
      </w:r>
      <w:r w:rsidR="006B2AD6" w:rsidRPr="00DB6E4E">
        <w:rPr>
          <w:rFonts w:ascii="Palatino Linotype" w:hAnsi="Palatino Linotype" w:cstheme="majorBidi"/>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industry","type":"article-journal","volume":"13"},"uris":["http://www.mendeley.com/documents/?uuid=3f949c5c-2d87-4e73-867b-2ea8d142803e"]},{"id":"ITEM-2","itemData":{"DOI":"10.32479/ijefi.14654","abstract":"This paper attempts to investigate the impact of bank-specific determinants on the stock price of Dhaka Stock Exchange (DSE) listed commercial banks in Bangladesh. Several bank-specific factors such as Book to Market Ratio, Return on Equity, Price/Earnings to Growth Ratio, Cash Flow per Share, Debt to Equity Ratio, Earnings per Share, Dividend per Share, Bank Size and Institutional Ownership Percentage have been analyzed for this study and tried to see the impact of each variable on the change in market price of share of 10 listed commercial banks spanning from 2011 to 2020. In empirical discussion four estimation models such as Fixed effects, Random effects, GLS, and Pooled OLS approach have been used to ensure the robustness of the models. To examine the validity of the models chosen for this study, the model specification test and many diagnostic checks were used, including the test of heteroskedasticity, the cross-sectional dependence test, the test of autocorrelation and the unit root test, etc. Our investiagtion reveals that only Bank Size and Book to Market Value explanatory variables are found significantly responsible for fluctuation in the change in share price of banks, contributing to the current literature by revealing the importance of bank-specific factors that include all metrics in their calculation. As a result, Bangladesh's DSE-listed banks should take appropriate measures to boost their stock values, such as attempting to improve the ratio that has a positive impact on the share price while decreasing the ratio that has a negative impact.","author":[{"dropping-particle":"","family":"Rubaiyath","given":"Akila","non-dropping-particle":"","parse-names":false,"suffix":""},{"dropping-particle":"","family":"Lalon","given":"Raad Mozib","non-dropping-particle":"","parse-names":false,"suffix":""}],"container-title":"International Journal of Economics and Financial Issues","id":"ITEM-2","issue":"4","issued":{"date-parts":[["2022"]]},"page":"134-142","title":"Investigating the Impact of Bank-specific Determinants on Stock Price of Listed Commercial Banks: Evidence from Emerging Economy","type":"article-journal","volume":"13"},"uris":["http://www.mendeley.com/documents/?uuid=b8e252a0-9945-49ae-a3df-c83a29fc8fa6"]}],"mendeley":{"formattedCitation":"(Rubaiyath &amp; Lalon, 2022; Sar &amp; Panigrahi, 2025)","plainTextFormattedCitation":"(Rubaiyath &amp; Lalon, 2022; Sar &amp; Panigrahi, 2025)","previouslyFormattedCitation":"(Rubaiyath &amp; Lalon, 2022; Sar &amp; Panigrahi, 2025)"},"properties":{"noteIndex":0},"schema":"https://github.com/citation-style-language/schema/raw/master/csl-citation.json"}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(Rubaiyath &amp; Lalon, 2022; Sar &amp; Panigrahi, 2025)</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1E3E4622" w14:textId="0F2B814A"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Bank financial performance is a critical determinant of stock price movements and is widely assessed using the CAMEL framework, which evaluates capital adequacy, asset quality, management efficiency, earnings ability, and liquidity. This framework, recommended by the Basel Committee, serves as a comprehensive tool for assessing bank soundness and operational effectiveness. Due to data limitations, the sensitivity to market risk component is often excluded in empirical studies, with emphasis placed on the remaining CAMEL dimensions </w:t>
      </w:r>
      <w:r w:rsidR="006B2AD6" w:rsidRPr="00DB6E4E">
        <w:rPr>
          <w:rFonts w:ascii="Palatino Linotype" w:hAnsi="Palatino Linotype" w:cstheme="majorBidi"/>
          <w:szCs w:val="24"/>
        </w:rPr>
        <w:fldChar w:fldCharType="begin" w:fldLock="1"/>
      </w:r>
      <w:r w:rsidR="006B2AD6" w:rsidRPr="00DB6E4E">
        <w:rPr>
          <w:rFonts w:ascii="Palatino Linotype" w:hAnsi="Palatino Linotype" w:cstheme="majorBidi"/>
          <w:szCs w:val="24"/>
        </w:rPr>
        <w:instrText>ADDIN CSL_CITATION {"citationItems":[{"id":"ITEM-1","itemData":{"DOI":"10.3390/su14106260","ISSN":"20711050","abstract":"The current crisis caused by the COVID-19 pandemic has hit the global economy hard, causing significant damage to every aspect of the global banking system, and Bangladesh is no exception. For that reason, its performance and profitability have been affected. In this study, we investigate the impact of COVID-19 on the financial performance and profitability of the listed private commercial banks in Bangladesh. We initially compute each bank’s financial performance index (FPI) to determine the position according to their financial performance individually before and the current period of COVID-19 by the standardized CAMELS rating system. After assessing the position, the fixed-effect regression model is used to explore the impact of the bank’s specific variables and macroeconomic variables along with the banks’ variables on the banks’ profitability. The banks that performed better during the pre-pandemic period of COVID-19 also performed better during the pandemic period of COVID-19. The performance of AIBL, EBL, and BBL was almost autonomously higher during both periods. In the case of bank profitability, our paper dis-covered that during the pandemic period of COVID-19, high non-performing loan rates, holding more liquid assets, a high amount of hedging capital, and inappropriate bank size lessened the banks’ profitability. In contrast, a low leverage position and inflation rate enhanced the bank’s profitability during this period. The outcome of this study will help bank authorities detect the loopholes and take preventive measures that can improve their profitability during a crisis period like COVID-19. The investors and depositors who invest money in banks can precisely decide their portfolios.","author":[{"dropping-particle":"","family":"Gazi","given":"Md Abu Issa","non-dropping-particle":"","parse-names":false,"suffix":""},{"dropping-particle":"","family":"Nahiduzzaman","given":"Md","non-dropping-particle":"","parse-names":false,"suffix":""},{"dropping-particle":"","family":"Harymawan","given":"Iman","non-dropping-particle":"","parse-names":false,"suffix":""},{"dropping-particle":"","family":"Masud","given":"Abdullah","non-dropping-particle":"Al","parse-names":false,"suffix":""},{"dropping-particle":"","family":"Dhar","given":"Bablu Kumar","non-dropping-particle":"","parse-names":false,"suffix":""}],"container-title":"Sustainability (Switzerland)","id":"ITEM-1","issue":"10","issued":{"date-parts":[["2022"]]},"page":"1-23","title":"Impact of COVID-19 on Financial Performance and Profitability of Banking Sector in Special Reference to Private Commercial Banks: Empirical Evidence from Bangladesh","type":"article-journal","volume":"14"},"uris":["http://www.mendeley.com/documents/?uuid=28399b23-71ff-4a02-a368-4b0589e1ebbd"]},{"id":"ITEM-2","itemData":{"DOI":"10.12688/f1000research.151628.2","ISSN":"20461402","PMID":"39944613","abstract":"Background: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-2","issued":{"date-parts":[["2025"]]},"title":"The dynamics of financial performance and market performance in the context of Indian banking industry","type":"article-journal","volume":"13"},"uris":["http://www.mendeley.com/documents/?uuid=3f949c5c-2d87-4e73-867b-2ea8d142803e"]}],"mendeley":{"formattedCitation":"(Gazi et al., 2022; Sar &amp; Panigrahi, 2025)","plainTextFormattedCitation":"(Gazi et al., 2022; Sar &amp; Panigrahi, 2025)","previouslyFormattedCitation":"(Gazi et al., 2022; Sar &amp; Panigrahi, 2025)"},"properties":{"noteIndex":0},"schema":"https://github.com/citation-style-language/schema/raw/master/csl-citation.json"}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(Gazi et al., 2022; Sar &amp; Panigrahi, 2025)</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091B9763" w14:textId="3945FCC6"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Capital adequacy reflects a bank’s capacity to absorb potential losses and maintain financial stability. It is commonly proxied by the Capital Adequacy Ratio (CAR), which measures the proportion of capital relative to risk-weighted </w:t>
      </w:r>
      <w:r w:rsidRPr="00DB6E4E">
        <w:rPr>
          <w:rFonts w:ascii="Palatino Linotype" w:hAnsi="Palatino Linotype" w:cstheme="majorBidi"/>
          <w:szCs w:val="24"/>
        </w:rPr>
        <w:lastRenderedPageBreak/>
        <w:t xml:space="preserve">assets. A higher CAR signals stronger risk absorption capacity and regulatory compliance, thereby enhancing investor confidence. Empirical evidence consistently indicates a positive and significant relationship between CAR and share price growth in the banking sector </w:t>
      </w:r>
      <w:r w:rsidR="006B2AD6" w:rsidRPr="00DB6E4E">
        <w:rPr>
          <w:rFonts w:ascii="Palatino Linotype" w:hAnsi="Palatino Linotype" w:cstheme="majorBidi"/>
          <w:szCs w:val="24"/>
        </w:rPr>
        <w:fldChar w:fldCharType="begin" w:fldLock="1"/>
      </w:r>
      <w:r w:rsidR="006B2AD6" w:rsidRPr="00DB6E4E">
        <w:rPr>
          <w:rFonts w:ascii="Palatino Linotype" w:hAnsi="Palatino Linotype" w:cstheme="majorBidi"/>
          <w:szCs w:val="24"/>
        </w:rPr>
        <w:instrText>ADDIN CSL_CITATION {"citationItems":[{"id":"ITEM-1","itemData":{"DOI":"10.53825/japjayakarta.v2i2.75","ISSN":"2714-5557","abstract":"This study was conducted to Analyze the Influence of CAR, NIM, LDR, NPL and BOPO to Stock Prices in the banking industrial were listed on Indonesia Stock Exchange in the period 2012-2015. The sampling technique used was purposive sampling method to obtain 20 banking companies. This study uses the hypothesis test analysis model of multiple linear regression analysis (Multiple Linear Regression). The results of this study showed that the CAR dosen’t have an effect to Stock Prices. While LDR and NIM have a positive effect to stock prices. NPL and BOPO has a negative effect to Stock Prices.","author":[{"dropping-particle":"","family":"Alfretdo","given":"Eric","non-dropping-particle":"","parse-names":false,"suffix":""},{"dropping-particle":"","family":"Nasution","given":"Fakhruddin","non-dropping-particle":"","parse-names":false,"suffix":""}],"container-title":"Jurnal Akuntansi dan Perpajakan Jayakarta","id":"ITEM-1","issue":"2","issued":{"date-parts":[["2021"]]},"page":"124-145","title":"Analisis Pengaruh Kinerja Perbankan Terhadap Harga Saham (Studi Empiris Pada Industri Perbankan Yang Terdaftar Dibursa Efek Indonesia Pada Tahun 2012 – 2015)","type":"article-journal","volume":"2"},"uris":["http://www.mendeley.com/documents/?uuid=bc3d0124-7e36-44a4-bd4a-9d31f1eafd67"]},{"id":"ITEM-2","itemData":{"DOI":"10.1051/shsconf/20207601035","abstract":"Banks in Indonesia always pay attention to the Capital Adequacy Ratio (CAR) to obtain adequate bank performance, while also paying attention to Non-Performing Loan (NPL). Banks want a high Return on Equity (ROE) to be able to be declared healthy and the bank's performance is also very good. Banking companies always make financial reports related to the banking performance. This study has two objectives namely, first to examine the effect of Capital Adequacy Ratio (CAR) on Return on Equity (ROE). Second, to examine the effect of Non-Performing Loans (NPLs) on Return on Equity (ROE) in foreign private banks that have been determined by the government. This study uses multiple regression analysis techniques using a sample of 20 banks. The test results show that there is an increase in capital Adequacy Ratio (CAR) that will be able to increase the Return on Equity (ROE) of foreign private banks in Indonesia. Increased Non-Performing Loans (NPLs) can have a positive effect and increase Return on Equity (ROE). Simultaneous tests carried out obtained the variable Adequacy Ratio (CAR) and Return on Equity (ROE) to have a joint impact on the Return on Equity (ROE) of private banks.","author":[{"dropping-particle":"","family":"Sebayang","given":"Pirmanta","non-dropping-particle":"","parse-names":false,"suffix":""}],"container-title":"SHS Web of Conferences","id":"ITEM-2","issued":{"date-parts":[["2020"]]},"page":"01035","title":"The Impact of the Capital Adequacy Ratio, Non-Performing Loan Against to Return on Equity (Case Study Private Bank in Indonesia)","type":"article-journal","volume":"76"},"uris":["http://www.mendeley.com/documents/?uuid=1bfec9d4-4e11-4597-a211-84310f08cc8e"]}],"mendeley":{"formattedCitation":"(Alfretdo &amp; Nasution, 2021; Sebayang, 2020)","plainTextFormattedCitation":"(Alfretdo &amp; Nasution, 2021; Sebayang, 2020)","previouslyFormattedCitation":"(Alfretdo &amp; Nasution, 2021; Sebayang, 2020)"},"properties":{"noteIndex":0},"schema":"https://github.com/citation-style-language/schema/raw/master/csl-citation.json"}</w:instrText>
      </w:r>
      <w:r w:rsidR="006B2AD6" w:rsidRPr="00DB6E4E">
        <w:rPr>
          <w:rFonts w:ascii="Palatino Linotype" w:hAnsi="Palatino Linotype" w:cstheme="majorBidi"/>
          <w:szCs w:val="24"/>
        </w:rPr>
        <w:fldChar w:fldCharType="separate"/>
      </w:r>
      <w:r w:rsidR="006B2AD6" w:rsidRPr="00DB6E4E">
        <w:rPr>
          <w:rFonts w:ascii="Palatino Linotype" w:hAnsi="Palatino Linotype" w:cstheme="majorBidi"/>
          <w:noProof/>
          <w:szCs w:val="24"/>
        </w:rPr>
        <w:t>(Alfretdo &amp; Nasution, 2021; Sebayang, 2020)</w:t>
      </w:r>
      <w:r w:rsidR="006B2AD6"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394E2C93" w14:textId="4D9E317F"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Asset quality is another crucial determinant of bank performance and stock valuation, as it reflects the level of credit risk borne by the bank. Net Non-Performing Assets (NNPA) are widely used to capture the real burden of impaired loans after provisions. High NNPA levels indicate deteriorating asset quality, which can erode profitability, weaken capital, and reduce investor confidence. Prior studies document a negative and significant impact of NNPA on bank stock prices, highlighting the importance of effective credit risk management </w:t>
      </w:r>
      <w:r w:rsidR="00DE7378" w:rsidRPr="00DB6E4E">
        <w:rPr>
          <w:rFonts w:ascii="Palatino Linotype" w:hAnsi="Palatino Linotype" w:cstheme="majorBidi"/>
          <w:szCs w:val="24"/>
        </w:rPr>
        <w:fldChar w:fldCharType="begin" w:fldLock="1"/>
      </w:r>
      <w:r w:rsidR="00DE7378" w:rsidRPr="00DB6E4E">
        <w:rPr>
          <w:rFonts w:ascii="Palatino Linotype" w:hAnsi="Palatino Linotype" w:cstheme="majorBidi"/>
          <w:szCs w:val="24"/>
        </w:rPr>
        <w:instrText>ADDIN CSL_CITATION {"citationItems":[{"id":"ITEM-1","itemData":{"DOI":"10.1108/AJAR-11-2020-0110","ISSN":"24434175","abstract":"Purpose: Analysts expect reduced bank earnings as a result of the impact of the increase in bad loans. Banks have strategically created high provision coverage ratios allocating large funds for possible deterioration in asset quality. Given the expected faster growth and recovery in the bank lending sector, investors have always been interested in banking stocks, despite the waves of non-performing assets (NPAs) and recessionary influences. Historical references reiterate that the banking stocks have been better performers in their returns compared to the capital markets. Design/methodology/approach: The study aims to examine the impact of key accounting variables on the stock prices of Indian banks in the panel data framework. Findings: The current study explores the impact of accounting variables on the market prices of shares. After the study, it may be concluded that earning per share (EPS), return on equity (ROE), capital adequacy ratio (CAR) and net interest margin (NIM) have an incremental impact on the prices of banking stocks, and the current ratio (CR) and NPAs have a detrimental impact on them. Practical implications: Studying their impact on stock prices is the most convenient fundamental analysis that could be conducted on the stock prices of the banks. Originality/value: To provide insights into the association of the accounting and regulatory variables there is a severe limitation in the quantity of the literature available. This study has attempted to build a relationship between the accounting and regulatory variables and the stock prices of banking stocks, to help investors with some reliable methods to estimate the stock prices in the future.","author":[{"dropping-particle":"","family":"Sharma","given":"Sudhi","non-dropping-particle":"","parse-names":false,"suffix":""},{"dropping-particle":"","family":"Bhardwaj","given":"Indira","non-dropping-particle":"","parse-names":false,"suffix":""},{"dropping-particle":"","family":"Kishore","given":"Kamal","non-dropping-particle":"","parse-names":false,"suffix":""}],"container-title":"Asian Journal of Accounting Research","id":"ITEM-1","issue":"2","issued":{"date-parts":[["2023"]]},"page":"184-193","title":"Capturing the impact of accounting and regulatory variables on stock prices of banks – an empirical study of Indian banks in panel data modeling","type":"article-journal","volume":"8"},"uris":["http://www.mendeley.com/documents/?uuid=f879ce24-a371-498e-9a32-4814d4c8d697"]},{"id":"ITEM-2","itemData":{"DOI":"10.36948/ijfmr.2024.v06i04.25067","abstract":"This empirical study investigates the impact of Non-Performing Assets (NPAs) on bank shareholder value and investor confidence using secondary data analysis. The research synthesizes insights from existing literature and employs a structured approach to analyze NPAs' effects across different types of banks. Drawing on studies that explore NPA management efficiencies, financial performance in cooperative banks, stock market returns mediated by loan performance, and macroeconomic influences on NPAs respectively, this study aims to provide a nuanced understanding of how NPAs influence shareholder value and investor confidence globally. The methodology involves comprehensive data collection from financial statements, stock market data, and regulatory filings. Analytical techniques include regression analysis, correlation studies, and event studies to quantify and interpret the impact of NPAs on stock prices and investor sentiment. The findings will contribute valuable insights into effective NPA management strategies for enhancing bank performance and maintaining investor trust in international financial markets.","author":[{"dropping-particle":"","family":"-","given":"Aiman Shahnawaz Shaikh","non-dropping-particle":"","parse-names":false,"suffix":""}],"container-title":"International Journal For Multidisciplinary Research","id":"ITEM-2","issue":"4","issued":{"date-parts":[["2024"]]},"title":"An Empirical Study of the Impact of Non-performing Assets on Bank Shareholder Value and Investor Confidence","type":"article-journal","volume":"6"},"uris":["http://www.mendeley.com/documents/?uuid=fd34f091-4904-430b-a9fa-4eb8eee06e69"]}],"mendeley":{"formattedCitation":"(-, 2024; Sharma et al., 2023)","manualFormatting":"(Shaikh, 2024; Sharma et al., 2023)","plainTextFormattedCitation":"(-, 2024; Sharma et al., 2023)","previouslyFormattedCitation":"(-, 2024; Sharma et al., 2023)"},"properties":{"noteIndex":0},"schema":"https://github.com/citation-style-language/schema/raw/master/csl-citation.json"}</w:instrText>
      </w:r>
      <w:r w:rsidR="00DE7378" w:rsidRPr="00DB6E4E">
        <w:rPr>
          <w:rFonts w:ascii="Palatino Linotype" w:hAnsi="Palatino Linotype" w:cstheme="majorBidi"/>
          <w:szCs w:val="24"/>
        </w:rPr>
        <w:fldChar w:fldCharType="separate"/>
      </w:r>
      <w:r w:rsidR="00DE7378" w:rsidRPr="00DB6E4E">
        <w:rPr>
          <w:rFonts w:ascii="Palatino Linotype" w:hAnsi="Palatino Linotype" w:cstheme="majorBidi"/>
          <w:noProof/>
          <w:szCs w:val="24"/>
        </w:rPr>
        <w:t>(Shaikh, 2024; Sharma et al., 2023)</w:t>
      </w:r>
      <w:r w:rsidR="00DE7378"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2E494D96" w14:textId="7D22372B"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Management efficiency represents the ability of bank management to allocate resources effectively and manage operational risks. This aspect is often proxied by the Current Account Savings Account (CASA) ratio, which measures the proportion of low-cost deposits in total funding. A higher CASA ratio generally implies lower funding costs and improved profitability. However, excessive operational and promotional expenditures to attract CASA deposits may offset these benefits, leading to mixed empirical findings, including a negative association between CASA and share price growth </w:t>
      </w:r>
      <w:r w:rsidR="00DE7378" w:rsidRPr="00DB6E4E">
        <w:rPr>
          <w:rFonts w:ascii="Palatino Linotype" w:hAnsi="Palatino Linotype" w:cstheme="majorBidi"/>
          <w:szCs w:val="24"/>
        </w:rPr>
        <w:fldChar w:fldCharType="begin" w:fldLock="1"/>
      </w:r>
      <w:r w:rsidR="00DE7378" w:rsidRPr="00DB6E4E">
        <w:rPr>
          <w:rFonts w:ascii="Palatino Linotype" w:hAnsi="Palatino Linotype" w:cstheme="majorBidi"/>
          <w:szCs w:val="24"/>
        </w:rPr>
        <w:instrText>ADDIN CSL_CITATION {"citationItems":[{"id":"ITEM-1","itemData":{"DOI":"10.1080/23311975.2024.2436132","ISSN":"23311975","abstract":"This study aims to assess the situation of the Current Account and Savings Account ratio (CASA ratio) among listed joint stock commercial banks (JSCBs) in Vietnam. Analytical data sourced from the Financial Statements and Annual Reports of 27 banks over 6 years (2018–2023) reveals that the CASA ratio in the period surveyed is relatively low and exhibits significant variation across different groups. Employing panel regressions, including Pooled Ordinary Least Squares (OLS), Fixed Effects Model (FEM), Random Effects Model (REM) and Generalized Method of Moments (GMM), the research examines the factors influencing CASA ratio, with GMM proving to be the best-fitting model. The analysis indicates that profitability and bank size are significant determinants of the CASA ratio, whereas economic growth, inflation, and liquidity exert a negative impact on CASA. Moreover, empirical evidence regarding the influence of real interest rates and non-performing loan ratios on CASA among JSCBs in Vietnam was not found. These findings hold implications for JSCBs and policymakers, offering insights to enhance deposit mobilization in Vietnam’s banking sector, thereby promoting efficient capital utilization and ensuring system stability in the future.","author":[{"dropping-particle":"","family":"Nguyen","given":"Quynh Trang","non-dropping-particle":"","parse-names":false,"suffix":""},{"dropping-particle":"","family":"Nguyen","given":"Le Duc","non-dropping-particle":"","parse-names":false,"suffix":""},{"dropping-particle":"","family":"Tran","given":"Thi Hong Mai","non-dropping-particle":"","parse-names":false,"suffix":""}],"container-title":"Cogent Business and Management","id":"ITEM-1","issue":"1","issued":{"date-parts":[["2024"]]},"page":"-","publisher":"Cogent","title":"The effects of bank-specific and macroeconomic determinants on CASA ratio of listed joint stock commercial banks in Vietnam","type":"article-journal","volume":"11"},"uris":["http://www.mendeley.com/documents/?uuid=4e428cb5-e7e1-4b1a-9085-22e296e69440"]},{"id":"ITEM-2","itemData":{"DOI":"10.47191/ijcsrr/v7-i12-12","abstract":"Technological advances have brought updates to business processes and banking services in Indonesia, namely the birth of banks that provide digital-based services to customers or called Digital Banks. The development of this digital banking ecosystem is supported by the economic conditions that have recovered after COVID pandemic ended. Digital transformation has certainly encouraged the emergence of several Digital Banks that have become Game Changers in the financial services business by offering convenience in digital products and services. A number of Digital Banks have succeeded in becoming public companies, recording credit growth, managing the non-performing loan ratio, increasing the growth of third-party funds, especially for online savings products through the digital banking products offered, and increasing the profitability ratio. Objective of this research is to determine the effect of Loan disbursement, NPL and CASA (Current Account-Saving Account) Ratio on the Profitability of Digital Bank that listed on Indonesia Stock Exchange for the 2018-2024 research year. The population data used is go-public Digital Bank and the sample is Digital Banks that are included in the Bank Group category based on Core Capital 1 and 2. Secondary data that used in this research are quarterly and annual bank report which are available on websites of Indonesian Stock Exchange and Financial Services Authority.","author":[{"dropping-particle":"","family":"Murtopo","given":"Ary Dwi Prasetyo","non-dropping-particle":"","parse-names":false,"suffix":""},{"dropping-particle":"","family":"Setyawan","given":"Ignatius Roni","non-dropping-particle":"","parse-names":false,"suffix":""}],"container-title":"International Journal of Current Science Research and Review","id":"ITEM-2","issue":"12","issued":{"date-parts":[["2024"]]},"page":"8749-8758","title":"Effect of Loan Disbursement, Non-Performing Loan (NPL) and Current Account-Saving Account (CASA) Ratio on The Profitability of Digital Bank Listed on Indonesia Stock Exchange","type":"article-journal","volume":"07"},"uris":["http://www.mendeley.com/documents/?uuid=d4b8f309-0334-4222-a1b5-68c7b1356c49"]}],"mendeley":{"formattedCitation":"(Murtopo &amp; Setyawan, 2024; Nguyen et al., 2024)","plainTextFormattedCitation":"(Murtopo &amp; Setyawan, 2024; Nguyen et al., 2024)","previouslyFormattedCitation":"(Murtopo &amp; Setyawan, 2024; Nguyen et al., 2024)"},"properties":{"noteIndex":0},"schema":"https://github.com/citation-style-language/schema/raw/master/csl-citation.json"}</w:instrText>
      </w:r>
      <w:r w:rsidR="00DE7378" w:rsidRPr="00DB6E4E">
        <w:rPr>
          <w:rFonts w:ascii="Palatino Linotype" w:hAnsi="Palatino Linotype" w:cstheme="majorBidi"/>
          <w:szCs w:val="24"/>
        </w:rPr>
        <w:fldChar w:fldCharType="separate"/>
      </w:r>
      <w:r w:rsidR="00DE7378" w:rsidRPr="00DB6E4E">
        <w:rPr>
          <w:rFonts w:ascii="Palatino Linotype" w:hAnsi="Palatino Linotype" w:cstheme="majorBidi"/>
          <w:noProof/>
          <w:szCs w:val="24"/>
        </w:rPr>
        <w:t>(Murtopo &amp; Setyawan, 2024; Nguyen et al., 2024)</w:t>
      </w:r>
      <w:r w:rsidR="00DE7378"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1B946129" w14:textId="638DC91C"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Earnings ability captures a bank’s capacity to generate stable and sustainable income. Net Interest Margin (NIM) is the most commonly used proxy, reflecting the effectiveness of banks in generating net interest income from productive assets. A higher NIM indicates efficient intermediation and stronger profitability, which are positively valued by investors. Empirical evidence supports a positive and significant relationship between NIM and bank stock performance </w:t>
      </w:r>
      <w:r w:rsidR="00DE7378" w:rsidRPr="00DB6E4E">
        <w:rPr>
          <w:rFonts w:ascii="Palatino Linotype" w:hAnsi="Palatino Linotype" w:cstheme="majorBidi"/>
          <w:szCs w:val="24"/>
        </w:rPr>
        <w:fldChar w:fldCharType="begin" w:fldLock="1"/>
      </w:r>
      <w:r w:rsidR="00404549" w:rsidRPr="00DB6E4E">
        <w:rPr>
          <w:rFonts w:ascii="Palatino Linotype" w:hAnsi="Palatino Linotype" w:cstheme="majorBidi"/>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id":"ITEM-2","itemData":{"author":[{"dropping-particle":"","family":"Widyakto","given":"Adhi","non-dropping-particle":"","parse-names":false,"suffix":""},{"dropping-particle":"","family":"Rinawati","given":"Tri","non-dropping-particle":"","parse-names":false,"suffix":""},{"dropping-particle":"","family":"Widyarti","given":"Endang Tri","non-dropping-particle":"","parse-names":false,"suffix":""}],"id":"ITEM-2","issue":"1","issued":{"date-parts":[["2023"]]},"page":"79-91","title":"The effect of return on assets , return on equity and net interest margin on stock prices in banking companies listed on the Indonesia Stock Exchange for the 2017-2021 period","type":"article-journal","volume":"32"},"uris":["http://www.mendeley.com/documents/?uuid=511dae3c-e162-4a86-98c3-d07410f3b106"]}],"mendeley":{"formattedCitation":"(Sar &amp; Panigrahi, 2025; Widyakto et al., 2023)","plainTextFormattedCitation":"(Sar &amp; Panigrahi, 2025; Widyakto et al., 2023)","previouslyFormattedCitation":"(Sar &amp; Panigrahi, 2025; Widyakto et al., 2023)"},"properties":{"noteIndex":0},"schema":"https://github.com/citation-style-language/schema/raw/master/csl-citation.json"}</w:instrText>
      </w:r>
      <w:r w:rsidR="00DE7378" w:rsidRPr="00DB6E4E">
        <w:rPr>
          <w:rFonts w:ascii="Palatino Linotype" w:hAnsi="Palatino Linotype" w:cstheme="majorBidi"/>
          <w:szCs w:val="24"/>
        </w:rPr>
        <w:fldChar w:fldCharType="separate"/>
      </w:r>
      <w:r w:rsidR="00DE7378" w:rsidRPr="00DB6E4E">
        <w:rPr>
          <w:rFonts w:ascii="Palatino Linotype" w:hAnsi="Palatino Linotype" w:cstheme="majorBidi"/>
          <w:noProof/>
          <w:szCs w:val="24"/>
        </w:rPr>
        <w:t>(Sar &amp; Panigrahi, 2025; Widyakto et al., 2023)</w:t>
      </w:r>
      <w:r w:rsidR="00DE7378"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509C1E1D" w14:textId="385C0D0F" w:rsidR="009C781E"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Liquidity plays a vital role in maintaining bank stability and public confidence, as banks must meet short-term obligations while managing maturity</w:t>
      </w:r>
      <w:r w:rsidR="00DD72F2" w:rsidRPr="00DB6E4E">
        <w:rPr>
          <w:rFonts w:ascii="Palatino Linotype" w:hAnsi="Palatino Linotype" w:cstheme="majorBidi"/>
          <w:szCs w:val="24"/>
        </w:rPr>
        <w:t xml:space="preserve"> </w:t>
      </w:r>
      <w:r w:rsidRPr="00DB6E4E">
        <w:rPr>
          <w:rFonts w:ascii="Palatino Linotype" w:hAnsi="Palatino Linotype" w:cstheme="majorBidi"/>
          <w:szCs w:val="24"/>
        </w:rPr>
        <w:t xml:space="preserve">mismatches between assets and liabilities. Liquidity is frequently measured using the Liquid Assets to Total Assets (LATA) ratio. Higher liquidity levels indicate a stronger ability to withstand financial stress and are associated with improved market valuation. Previous studies report a positive and significant impact of liquidity on bank stock prices </w:t>
      </w:r>
      <w:r w:rsidR="00404549" w:rsidRPr="00DB6E4E">
        <w:rPr>
          <w:rFonts w:ascii="Palatino Linotype" w:hAnsi="Palatino Linotype" w:cstheme="majorBidi"/>
          <w:szCs w:val="24"/>
        </w:rPr>
        <w:fldChar w:fldCharType="begin" w:fldLock="1"/>
      </w:r>
      <w:r w:rsidR="00404549" w:rsidRPr="00DB6E4E">
        <w:rPr>
          <w:rFonts w:ascii="Palatino Linotype" w:hAnsi="Palatino Linotype" w:cstheme="majorBidi"/>
          <w:szCs w:val="24"/>
        </w:rPr>
        <w:instrText>ADDIN CSL_CITATION {"citationItems":[{"id":"ITEM-1","itemData":{"DOI":"10.56831/psen-02-055","abstract":"An efficient, functional banking system may catalyze rapid growth in numerous areas of the economy and is a critical prerequisite for a country’s progress, and India is no exception. This research study will investigate and compare the financial performance of South Indian Bank and HDFC Bank using the CAMEL Model. The purpose of this article is twofold: first, to examine South Indian Bank’s financial performance, and second, to compare South Indian Bank’s performance to that of HDFC Bank. The study utilizes secondary data from the banks’ annual reports over five years, from 2017-18 to 2021-22. The CAMEL Model is used as a framework for the analysis, comprising five dimensions - capital adequacy, asset quality, management quality, earnings, and liquidity. According to the study’s findings, both banks performed satisfactorily regarding capital sufficiency, managerial quality, and liquidity. However, regarding asset quality and earnings, HDFC Bank outperforms South Indian Bank. This research will help investors, stakeholders, and policymakers make informed judgments concerning these banks.","author":[{"dropping-particle":"","family":"Philip","given":"Bijin","non-dropping-particle":"","parse-names":false,"suffix":""}],"container-title":"PriMera Scientific Engineering","id":"ITEM-1","issue":"June","issued":{"date-parts":[["2023"]]},"title":"A Camel Analysis on the Performance of South Indian Bank","type":"article-journal"},"uris":["http://www.mendeley.com/documents/?uuid=e7b7e4e2-9295-49ff-a285-6c65545e7f16"]},{"id":"ITEM-2","itemData":{"DOI":"10.12688/f1000research.151628.2","ISSN":"20461402","PMID":"39944613","abstract":"Background: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-2","issued":{"date-parts":[["2025"]]},"title":"The dynamics of financial performance and market performance in the context of Indian banking industry","type":"article-journal","volume":"13"},"uris":["http://www.mendeley.com/documents/?uuid=3f949c5c-2d87-4e73-867b-2ea8d142803e"]}],"mendeley":{"formattedCitation":"(Philip, 2023; Sar &amp; Panigrahi, 2025)","plainTextFormattedCitation":"(Philip, 2023; Sar &amp; Panigrahi, 2025)","previouslyFormattedCitation":"(Philip, 2023; Sar &amp; Panigrahi, 2025)"},"properties":{"noteIndex":0},"schema":"https://github.com/citation-style-language/schema/raw/master/csl-citation.json"}</w:instrText>
      </w:r>
      <w:r w:rsidR="00404549" w:rsidRPr="00DB6E4E">
        <w:rPr>
          <w:rFonts w:ascii="Palatino Linotype" w:hAnsi="Palatino Linotype" w:cstheme="majorBidi"/>
          <w:szCs w:val="24"/>
        </w:rPr>
        <w:fldChar w:fldCharType="separate"/>
      </w:r>
      <w:r w:rsidR="00404549" w:rsidRPr="00DB6E4E">
        <w:rPr>
          <w:rFonts w:ascii="Palatino Linotype" w:hAnsi="Palatino Linotype" w:cstheme="majorBidi"/>
          <w:noProof/>
          <w:szCs w:val="24"/>
        </w:rPr>
        <w:t>(Philip, 2023; Sar &amp; Panigrahi, 2025)</w:t>
      </w:r>
      <w:r w:rsidR="00404549"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6333F30A" w14:textId="78DEC33D" w:rsidR="00DE63D6" w:rsidRPr="00DB6E4E" w:rsidRDefault="009C781E"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In addition to financial performance indicators, bank size is commonly included as a control variable to account for differences in operational scale. Bank </w:t>
      </w:r>
      <w:r w:rsidRPr="00DB6E4E">
        <w:rPr>
          <w:rFonts w:ascii="Palatino Linotype" w:hAnsi="Palatino Linotype" w:cstheme="majorBidi"/>
          <w:szCs w:val="24"/>
        </w:rPr>
        <w:lastRenderedPageBreak/>
        <w:t xml:space="preserve">size, typically measured by the natural logarithm of total assets, reflects economies of scale, diversification opportunities, and perceived stability. Larger banks are generally considered more resilient and efficient, although they may face greater regulatory scrutiny. Empirical findings indicate that bank size has a positive and significant effect on share price growth </w:t>
      </w:r>
      <w:r w:rsidR="00404549" w:rsidRPr="00DB6E4E">
        <w:rPr>
          <w:rFonts w:ascii="Palatino Linotype" w:hAnsi="Palatino Linotype" w:cstheme="majorBidi"/>
          <w:szCs w:val="24"/>
        </w:rPr>
        <w:fldChar w:fldCharType="begin" w:fldLock="1"/>
      </w:r>
      <w:r w:rsidR="00404549" w:rsidRPr="00DB6E4E">
        <w:rPr>
          <w:rFonts w:ascii="Palatino Linotype" w:hAnsi="Palatino Linotype" w:cstheme="majorBidi"/>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industry","type":"article-journal","volume":"13"},"uris":["http://www.mendeley.com/documents/?uuid=3f949c5c-2d87-4e73-867b-2ea8d142803e"]},{"id":"ITEM-2","itemData":{"DOI":"10.37641/jimkes.v12i6.2916","ISSN":"2337-7860","abstract":"This study examines the factors influencing stock performance in banking institutions listed on the Indonesia Stock Exchange (IDX) during the 2019–2023 period. A quantitative approach using panel data regression is applied to assess the impact of internal financial metrics—such as Earningss per Share (EPS), Dividend per Share (DPS), Price-to-Earningss Ratio (P/E), and Book Value per Share (BVPS)—as well as external macroeconomic variables, including inflation, Gross Domestic Product (GDP), and bank size, on Market Price per Share (MPS). The study employs the random-effect model, along with statistical tests such as Chow, Hausman, and Lagrange Multiplier, to determine the most suitable regression model. The results reveal that EPS, BVPS, and bank size have significant positive impacts on MPS, indicating that higher profitability, strong intrinsic equity value, and larger institutional size are associated with better stock performance. In contrast, DPS, P/E, inflation, and GDP show no significant influence, suggesting that investors in the banking sector focus more on other aspects, such as EPS, BVPS, and bank size rather than the amount of dividends distributed, share price compared to profitability, inflation, and GDP. These findings offer practical implications for bank management to enhance financial performance and attract investments by focusing on improving profitability and equity growth. Additionally, this study serves as a valuable reference for investors in developing stock selection strategies by emphasizing the importance of strong fundamentals. Furthermore, the research identifies limitations in existing variables in capturing stock volatility and recommends future studies to expand the scope by incorporating additional market dynamics and longer observation periods.","author":[{"dropping-particle":"","family":"Syahid","given":"Aliah Muthiah","non-dropping-particle":"","parse-names":false,"suffix":""},{"dropping-particle":"","family":"Pitriana","given":"Ida","non-dropping-particle":"","parse-names":false,"suffix":""},{"dropping-particle":"","family":"Lestari","given":"Henny Setyo","non-dropping-particle":"","parse-names":false,"suffix":""}],"container-title":"Jurnal Ilmiah Manajemen Kesatuan","id":"ITEM-2","issue":"6","issued":{"date-parts":[["2024"]]},"page":"2267-2276","title":"Internal and External Determinants of Banking Stock Performance: Evidence From The Indonesia Stock Exchange","type":"article-journal","volume":"12"},"uris":["http://www.mendeley.com/documents/?uuid=a7d19ef3-8d66-4e31-873a-fa744c7e1add"]}],"mendeley":{"formattedCitation":"(Sar &amp; Panigrahi, 2025; Syahid et al., 2024)","plainTextFormattedCitation":"(Sar &amp; Panigrahi, 2025; Syahid et al., 2024)","previouslyFormattedCitation":"(Sar &amp; Panigrahi, 2025; Syahid et al., 2024)"},"properties":{"noteIndex":0},"schema":"https://github.com/citation-style-language/schema/raw/master/csl-citation.json"}</w:instrText>
      </w:r>
      <w:r w:rsidR="00404549" w:rsidRPr="00DB6E4E">
        <w:rPr>
          <w:rFonts w:ascii="Palatino Linotype" w:hAnsi="Palatino Linotype" w:cstheme="majorBidi"/>
          <w:szCs w:val="24"/>
        </w:rPr>
        <w:fldChar w:fldCharType="separate"/>
      </w:r>
      <w:r w:rsidR="00404549" w:rsidRPr="00DB6E4E">
        <w:rPr>
          <w:rFonts w:ascii="Palatino Linotype" w:hAnsi="Palatino Linotype" w:cstheme="majorBidi"/>
          <w:noProof/>
          <w:szCs w:val="24"/>
        </w:rPr>
        <w:t>(Sar &amp; Panigrahi, 2025; Syahid et al., 2024)</w:t>
      </w:r>
      <w:r w:rsidR="00404549" w:rsidRPr="00DB6E4E">
        <w:rPr>
          <w:rFonts w:ascii="Palatino Linotype" w:hAnsi="Palatino Linotype" w:cstheme="majorBidi"/>
          <w:szCs w:val="24"/>
        </w:rPr>
        <w:fldChar w:fldCharType="end"/>
      </w:r>
      <w:r w:rsidRPr="00DB6E4E">
        <w:rPr>
          <w:rFonts w:ascii="Palatino Linotype" w:hAnsi="Palatino Linotype" w:cstheme="majorBidi"/>
          <w:szCs w:val="24"/>
        </w:rPr>
        <w:t>.</w:t>
      </w:r>
    </w:p>
    <w:p w14:paraId="21CDEAB4" w14:textId="77777777" w:rsidR="00DD72F2" w:rsidRPr="00DB6E4E" w:rsidRDefault="00DD72F2" w:rsidP="00DB6E4E">
      <w:pPr>
        <w:spacing w:after="120" w:line="240" w:lineRule="auto"/>
        <w:ind w:firstLine="720"/>
        <w:contextualSpacing/>
        <w:rPr>
          <w:rFonts w:ascii="Palatino Linotype" w:hAnsi="Palatino Linotype"/>
          <w:b/>
          <w:bCs/>
          <w:szCs w:val="24"/>
        </w:rPr>
      </w:pPr>
    </w:p>
    <w:p w14:paraId="0E73266C" w14:textId="02C5C2F6" w:rsidR="006C4A51" w:rsidRPr="00DB6E4E" w:rsidRDefault="006C4A51" w:rsidP="00DB6E4E">
      <w:pPr>
        <w:spacing w:after="120" w:line="240" w:lineRule="auto"/>
        <w:contextualSpacing/>
        <w:rPr>
          <w:rFonts w:ascii="Palatino Linotype" w:hAnsi="Palatino Linotype"/>
          <w:b/>
          <w:bCs/>
          <w:szCs w:val="24"/>
        </w:rPr>
      </w:pPr>
      <w:r w:rsidRPr="00DB6E4E">
        <w:rPr>
          <w:rFonts w:ascii="Palatino Linotype" w:hAnsi="Palatino Linotype"/>
          <w:b/>
          <w:bCs/>
          <w:szCs w:val="24"/>
        </w:rPr>
        <w:t>RESEARCH METHOD</w:t>
      </w:r>
    </w:p>
    <w:p w14:paraId="7EC52E2D" w14:textId="67CA5CC4" w:rsidR="005035E7" w:rsidRPr="00DB6E4E" w:rsidRDefault="00EC629B" w:rsidP="00DB6E4E">
      <w:pPr>
        <w:spacing w:after="120" w:line="240" w:lineRule="auto"/>
        <w:ind w:firstLine="720"/>
        <w:contextualSpacing/>
        <w:jc w:val="lowKashida"/>
        <w:rPr>
          <w:rFonts w:ascii="Palatino Linotype" w:hAnsi="Palatino Linotype"/>
          <w:szCs w:val="24"/>
        </w:rPr>
      </w:pPr>
      <w:r w:rsidRPr="00DB6E4E">
        <w:rPr>
          <w:rFonts w:ascii="Palatino Linotype" w:hAnsi="Palatino Linotype"/>
          <w:szCs w:val="24"/>
        </w:rPr>
        <w:t xml:space="preserve">This study employs a quantitative research method that emphasizes the use of numerical data in data collection, analysis, and interpretation to produce objective conclusions </w:t>
      </w:r>
      <w:r w:rsidR="00404549" w:rsidRPr="00DB6E4E">
        <w:rPr>
          <w:rFonts w:ascii="Palatino Linotype" w:hAnsi="Palatino Linotype"/>
          <w:szCs w:val="24"/>
        </w:rPr>
        <w:fldChar w:fldCharType="begin" w:fldLock="1"/>
      </w:r>
      <w:r w:rsidR="00404549" w:rsidRPr="00DB6E4E">
        <w:rPr>
          <w:rFonts w:ascii="Palatino Linotype" w:hAnsi="Palatino Linotype"/>
          <w:szCs w:val="24"/>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industry","type":"article-journal","volume":"13"},"uris":["http://www.mendeley.com/documents/?uuid=3f949c5c-2d87-4e73-867b-2ea8d142803e"]}],"mendeley":{"formattedCitation":"(Sar &amp; Panigrahi, 2025)","plainTextFormattedCitation":"(Sar &amp; Panigrahi, 2025)","previouslyFormattedCitation":"(Sar &amp; Panigrahi, 2025)"},"properties":{"noteIndex":0},"schema":"https://github.com/citation-style-language/schema/raw/master/csl-citation.json"}</w:instrText>
      </w:r>
      <w:r w:rsidR="00404549" w:rsidRPr="00DB6E4E">
        <w:rPr>
          <w:rFonts w:ascii="Palatino Linotype" w:hAnsi="Palatino Linotype"/>
          <w:szCs w:val="24"/>
        </w:rPr>
        <w:fldChar w:fldCharType="separate"/>
      </w:r>
      <w:r w:rsidR="00404549" w:rsidRPr="00DB6E4E">
        <w:rPr>
          <w:rFonts w:ascii="Palatino Linotype" w:hAnsi="Palatino Linotype"/>
          <w:noProof/>
          <w:szCs w:val="24"/>
        </w:rPr>
        <w:t>(Sar &amp; Panigrahi, 2025)</w:t>
      </w:r>
      <w:r w:rsidR="00404549" w:rsidRPr="00DB6E4E">
        <w:rPr>
          <w:rFonts w:ascii="Palatino Linotype" w:hAnsi="Palatino Linotype"/>
          <w:szCs w:val="24"/>
        </w:rPr>
        <w:fldChar w:fldCharType="end"/>
      </w:r>
      <w:r w:rsidRPr="00DB6E4E">
        <w:rPr>
          <w:rFonts w:ascii="Palatino Linotype" w:hAnsi="Palatino Linotype"/>
          <w:szCs w:val="24"/>
        </w:rPr>
        <w:t>. The study uses secondary data obtained from the annual financial reports and stock price data of banking companies listed on the Indonesia Stock Exchange (IDX) during the 2020–2024 period. The population consists of all listed commercial banks, with samples selected using purposive sampling based on data completeness and consistency, resulting in 29 banks and 145 panel data observations. Data were collected through documentation techniques from the IDX and official bank websites. Panel data regression analysis was applied to examine the relationships between variables, with model selection and hypothesis testing conducted using e-views 9 software. Stock performance, proxied by Share Price Growth (SPG), serves as the dependent variable, while Capital Adequacy Ratio (CAR), Net Non-Performing Assets (NNPA), Current Account Savings Account (CASA), Net Interest Margin (NIM), and Liquid Assets to Total Assets (LATA) are employed as independent variables, with bank size measured by the natural logarithm of total assets included as a control variable.</w:t>
      </w:r>
    </w:p>
    <w:p w14:paraId="2F2DEBC1" w14:textId="77777777" w:rsidR="00EC629B" w:rsidRPr="00DB6E4E" w:rsidRDefault="00EC629B" w:rsidP="00DB6E4E">
      <w:pPr>
        <w:spacing w:after="120" w:line="240" w:lineRule="auto"/>
        <w:ind w:firstLine="720"/>
        <w:contextualSpacing/>
        <w:jc w:val="lowKashida"/>
        <w:rPr>
          <w:rFonts w:ascii="Palatino Linotype" w:hAnsi="Palatino Linotype" w:cs="Times New Roman"/>
          <w:b/>
          <w:bCs/>
          <w:szCs w:val="24"/>
        </w:rPr>
      </w:pPr>
    </w:p>
    <w:p w14:paraId="7D1EA72D" w14:textId="0A33C2CF" w:rsidR="0000685B" w:rsidRPr="00DB6E4E" w:rsidRDefault="00982E6F" w:rsidP="00DB6E4E">
      <w:pPr>
        <w:widowControl w:val="0"/>
        <w:spacing w:after="120" w:line="240" w:lineRule="auto"/>
        <w:ind w:right="3"/>
        <w:contextualSpacing/>
        <w:rPr>
          <w:rFonts w:ascii="Palatino Linotype" w:hAnsi="Palatino Linotype" w:cs="Times New Roman"/>
          <w:b/>
          <w:bCs/>
          <w:szCs w:val="24"/>
        </w:rPr>
      </w:pPr>
      <w:r w:rsidRPr="00DB6E4E">
        <w:rPr>
          <w:rFonts w:ascii="Palatino Linotype" w:hAnsi="Palatino Linotype" w:cs="Times New Roman"/>
          <w:b/>
          <w:bCs/>
          <w:szCs w:val="24"/>
        </w:rPr>
        <w:t xml:space="preserve">RESULTS AND </w:t>
      </w:r>
      <w:r w:rsidR="00874299" w:rsidRPr="00DB6E4E">
        <w:rPr>
          <w:rFonts w:ascii="Palatino Linotype" w:hAnsi="Palatino Linotype" w:cs="Times New Roman"/>
          <w:b/>
          <w:bCs/>
          <w:szCs w:val="24"/>
          <w:lang w:val="id-ID"/>
        </w:rPr>
        <w:t>DISCUSSION</w:t>
      </w:r>
    </w:p>
    <w:p w14:paraId="2BFD87E1" w14:textId="1F5B0D4A" w:rsidR="00F13854" w:rsidRPr="00DB6E4E" w:rsidRDefault="00F13854" w:rsidP="00DB6E4E">
      <w:pPr>
        <w:pBdr>
          <w:top w:val="nil"/>
          <w:left w:val="nil"/>
          <w:bottom w:val="nil"/>
          <w:right w:val="nil"/>
          <w:between w:val="nil"/>
        </w:pBdr>
        <w:spacing w:after="120" w:line="240" w:lineRule="auto"/>
        <w:contextualSpacing/>
        <w:rPr>
          <w:rFonts w:ascii="Palatino Linotype" w:eastAsia="Arial" w:hAnsi="Palatino Linotype" w:cstheme="majorBidi"/>
          <w:b/>
          <w:bCs/>
          <w:color w:val="000000"/>
          <w:szCs w:val="24"/>
        </w:rPr>
      </w:pPr>
      <w:r w:rsidRPr="00DB6E4E">
        <w:rPr>
          <w:rFonts w:ascii="Palatino Linotype" w:eastAsia="Arial" w:hAnsi="Palatino Linotype" w:cstheme="majorBidi"/>
          <w:b/>
          <w:bCs/>
          <w:color w:val="000000"/>
          <w:szCs w:val="24"/>
        </w:rPr>
        <w:t xml:space="preserve">Descriptive </w:t>
      </w:r>
      <w:r w:rsidR="009F44C0" w:rsidRPr="00DB6E4E">
        <w:rPr>
          <w:rFonts w:ascii="Palatino Linotype" w:eastAsia="Arial" w:hAnsi="Palatino Linotype" w:cstheme="majorBidi"/>
          <w:b/>
          <w:bCs/>
          <w:color w:val="000000"/>
          <w:szCs w:val="24"/>
        </w:rPr>
        <w:t>Analysis</w:t>
      </w:r>
    </w:p>
    <w:p w14:paraId="38529B87" w14:textId="215849FD" w:rsidR="00F13854" w:rsidRPr="00DB6E4E" w:rsidRDefault="00F13854"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The results of the descriptive statistical test on the independent variables</w:t>
      </w:r>
      <w:r w:rsidR="00EC629B" w:rsidRPr="00DB6E4E">
        <w:rPr>
          <w:rFonts w:ascii="Palatino Linotype" w:hAnsi="Palatino Linotype" w:cstheme="majorBidi"/>
          <w:szCs w:val="24"/>
        </w:rPr>
        <w:t xml:space="preserve"> and control </w:t>
      </w:r>
      <w:r w:rsidR="00DB6E4E">
        <w:rPr>
          <w:rFonts w:ascii="Palatino Linotype" w:hAnsi="Palatino Linotype" w:cstheme="majorBidi"/>
          <w:szCs w:val="24"/>
        </w:rPr>
        <w:t>variables</w:t>
      </w:r>
      <w:r w:rsidR="00EC629B" w:rsidRPr="00DB6E4E">
        <w:rPr>
          <w:rFonts w:ascii="Palatino Linotype" w:hAnsi="Palatino Linotype" w:cstheme="majorBidi"/>
          <w:szCs w:val="24"/>
        </w:rPr>
        <w:t xml:space="preserve"> on</w:t>
      </w:r>
      <w:r w:rsidRPr="00DB6E4E">
        <w:rPr>
          <w:rFonts w:ascii="Palatino Linotype" w:hAnsi="Palatino Linotype" w:cstheme="majorBidi"/>
          <w:szCs w:val="24"/>
        </w:rPr>
        <w:t xml:space="preserve"> dependent variables can be seen in the following table:</w:t>
      </w:r>
    </w:p>
    <w:p w14:paraId="7961FE62" w14:textId="77777777" w:rsidR="00F13854" w:rsidRPr="00DB6E4E" w:rsidRDefault="00F13854" w:rsidP="00DB6E4E">
      <w:pPr>
        <w:spacing w:after="120" w:line="240" w:lineRule="auto"/>
        <w:contextualSpacing/>
        <w:jc w:val="lowKashida"/>
        <w:rPr>
          <w:rFonts w:ascii="Palatino Linotype" w:hAnsi="Palatino Linotype" w:cstheme="majorBidi"/>
          <w:b/>
          <w:bCs/>
          <w:szCs w:val="24"/>
        </w:rPr>
      </w:pPr>
      <w:bookmarkStart w:id="3" w:name="_Toc194164552"/>
      <w:r w:rsidRPr="00DB6E4E">
        <w:rPr>
          <w:rFonts w:ascii="Palatino Linotype" w:hAnsi="Palatino Linotype" w:cstheme="majorBidi"/>
          <w:szCs w:val="24"/>
        </w:rPr>
        <w:br w:type="page"/>
      </w:r>
    </w:p>
    <w:p w14:paraId="54256D3F" w14:textId="0FC7A718" w:rsidR="00F13854" w:rsidRPr="00DB6E4E" w:rsidRDefault="00F13854" w:rsidP="00DB6E4E">
      <w:pPr>
        <w:pStyle w:val="Keterangan"/>
        <w:spacing w:after="120" w:line="240" w:lineRule="auto"/>
        <w:contextualSpacing/>
        <w:jc w:val="center"/>
        <w:rPr>
          <w:rFonts w:ascii="Palatino Linotype" w:hAnsi="Palatino Linotype" w:cstheme="majorBidi"/>
          <w:b w:val="0"/>
          <w:bCs w:val="0"/>
          <w:i/>
          <w:iCs/>
          <w:sz w:val="24"/>
          <w:szCs w:val="24"/>
        </w:rPr>
      </w:pPr>
      <w:r w:rsidRPr="00DB6E4E">
        <w:rPr>
          <w:rFonts w:ascii="Palatino Linotype" w:hAnsi="Palatino Linotype" w:cstheme="majorBidi"/>
          <w:sz w:val="24"/>
          <w:szCs w:val="24"/>
        </w:rPr>
        <w:lastRenderedPageBreak/>
        <w:t>Table 1.</w:t>
      </w:r>
    </w:p>
    <w:p w14:paraId="3ADCF69C" w14:textId="0FD50392" w:rsidR="00F13854" w:rsidRPr="00DB6E4E" w:rsidRDefault="00F13854" w:rsidP="00DB6E4E">
      <w:pPr>
        <w:pStyle w:val="Keterangan"/>
        <w:spacing w:after="120" w:line="240" w:lineRule="auto"/>
        <w:contextualSpacing/>
        <w:jc w:val="center"/>
        <w:rPr>
          <w:rFonts w:ascii="Palatino Linotype" w:hAnsi="Palatino Linotype" w:cstheme="majorBidi"/>
          <w:sz w:val="24"/>
          <w:szCs w:val="24"/>
        </w:rPr>
      </w:pPr>
      <w:r w:rsidRPr="00DB6E4E">
        <w:rPr>
          <w:rFonts w:ascii="Palatino Linotype" w:hAnsi="Palatino Linotype" w:cstheme="majorBidi"/>
          <w:sz w:val="24"/>
          <w:szCs w:val="24"/>
        </w:rPr>
        <w:t>Descriptive Analysis</w:t>
      </w:r>
      <w:bookmarkEnd w:id="3"/>
      <w:r w:rsidR="009F44C0" w:rsidRPr="00DB6E4E">
        <w:rPr>
          <w:rFonts w:ascii="Palatino Linotype" w:hAnsi="Palatino Linotype" w:cstheme="majorBidi"/>
          <w:sz w:val="24"/>
          <w:szCs w:val="24"/>
        </w:rPr>
        <w:t xml:space="preserve"> Result</w:t>
      </w:r>
    </w:p>
    <w:tbl>
      <w:tblPr>
        <w:tblStyle w:val="TableGrid2"/>
        <w:tblW w:w="4843" w:type="pct"/>
        <w:jc w:val="center"/>
        <w:tblLook w:val="04A0" w:firstRow="1" w:lastRow="0" w:firstColumn="1" w:lastColumn="0" w:noHBand="0" w:noVBand="1"/>
      </w:tblPr>
      <w:tblGrid>
        <w:gridCol w:w="931"/>
        <w:gridCol w:w="671"/>
        <w:gridCol w:w="1319"/>
        <w:gridCol w:w="1319"/>
        <w:gridCol w:w="1444"/>
        <w:gridCol w:w="1468"/>
        <w:gridCol w:w="1124"/>
      </w:tblGrid>
      <w:tr w:rsidR="00EC629B" w:rsidRPr="00DB6E4E" w14:paraId="416CC4B1" w14:textId="77777777" w:rsidTr="00B8554C">
        <w:trPr>
          <w:trHeight w:val="431"/>
          <w:jc w:val="center"/>
        </w:trPr>
        <w:tc>
          <w:tcPr>
            <w:tcW w:w="514" w:type="pct"/>
            <w:vAlign w:val="center"/>
          </w:tcPr>
          <w:p w14:paraId="4A61E1C6" w14:textId="77777777" w:rsidR="00EC629B" w:rsidRPr="00DB6E4E" w:rsidRDefault="00EC629B" w:rsidP="00DB6E4E">
            <w:pPr>
              <w:spacing w:after="120" w:line="240" w:lineRule="auto"/>
              <w:contextualSpacing/>
              <w:jc w:val="center"/>
              <w:rPr>
                <w:rFonts w:ascii="Palatino Linotype" w:hAnsi="Palatino Linotype" w:cs="Times New Roman"/>
                <w:lang w:val="id-ID"/>
              </w:rPr>
            </w:pPr>
          </w:p>
        </w:tc>
        <w:tc>
          <w:tcPr>
            <w:tcW w:w="416" w:type="pct"/>
            <w:vAlign w:val="center"/>
          </w:tcPr>
          <w:p w14:paraId="281F36B5"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N</w:t>
            </w:r>
          </w:p>
        </w:tc>
        <w:tc>
          <w:tcPr>
            <w:tcW w:w="808" w:type="pct"/>
            <w:vAlign w:val="center"/>
          </w:tcPr>
          <w:p w14:paraId="5082860F"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Mean</w:t>
            </w:r>
          </w:p>
        </w:tc>
        <w:tc>
          <w:tcPr>
            <w:tcW w:w="808" w:type="pct"/>
            <w:vAlign w:val="center"/>
          </w:tcPr>
          <w:p w14:paraId="3A5DD227"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Median</w:t>
            </w:r>
          </w:p>
        </w:tc>
        <w:tc>
          <w:tcPr>
            <w:tcW w:w="883" w:type="pct"/>
            <w:vAlign w:val="center"/>
          </w:tcPr>
          <w:p w14:paraId="3C5400CE"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Maximum</w:t>
            </w:r>
          </w:p>
        </w:tc>
        <w:tc>
          <w:tcPr>
            <w:tcW w:w="897" w:type="pct"/>
            <w:vAlign w:val="center"/>
          </w:tcPr>
          <w:p w14:paraId="7DAFA21E"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Minimum</w:t>
            </w:r>
          </w:p>
        </w:tc>
        <w:tc>
          <w:tcPr>
            <w:tcW w:w="674" w:type="pct"/>
            <w:vAlign w:val="center"/>
          </w:tcPr>
          <w:p w14:paraId="55EB5D72"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Std.Dev.</w:t>
            </w:r>
          </w:p>
        </w:tc>
      </w:tr>
      <w:tr w:rsidR="00EC629B" w:rsidRPr="00DB6E4E" w14:paraId="08BA5F9E" w14:textId="77777777" w:rsidTr="00B8554C">
        <w:trPr>
          <w:trHeight w:val="431"/>
          <w:jc w:val="center"/>
        </w:trPr>
        <w:tc>
          <w:tcPr>
            <w:tcW w:w="514" w:type="pct"/>
            <w:vAlign w:val="center"/>
          </w:tcPr>
          <w:p w14:paraId="04C291D2"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CAR</w:t>
            </w:r>
          </w:p>
        </w:tc>
        <w:tc>
          <w:tcPr>
            <w:tcW w:w="416" w:type="pct"/>
            <w:vAlign w:val="center"/>
          </w:tcPr>
          <w:p w14:paraId="3760DEC3"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145</w:t>
            </w:r>
          </w:p>
        </w:tc>
        <w:tc>
          <w:tcPr>
            <w:tcW w:w="808" w:type="pct"/>
            <w:vAlign w:val="center"/>
          </w:tcPr>
          <w:p w14:paraId="1A4E9E88"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31.34949</w:t>
            </w:r>
          </w:p>
        </w:tc>
        <w:tc>
          <w:tcPr>
            <w:tcW w:w="808" w:type="pct"/>
            <w:vAlign w:val="center"/>
          </w:tcPr>
          <w:p w14:paraId="55248A04"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25.60000</w:t>
            </w:r>
          </w:p>
        </w:tc>
        <w:tc>
          <w:tcPr>
            <w:tcW w:w="883" w:type="pct"/>
            <w:vAlign w:val="center"/>
          </w:tcPr>
          <w:p w14:paraId="75CFA7A6"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169.9200</w:t>
            </w:r>
          </w:p>
        </w:tc>
        <w:tc>
          <w:tcPr>
            <w:tcW w:w="897" w:type="pct"/>
            <w:vAlign w:val="center"/>
          </w:tcPr>
          <w:p w14:paraId="3A5F703C"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10.50000</w:t>
            </w:r>
          </w:p>
        </w:tc>
        <w:tc>
          <w:tcPr>
            <w:tcW w:w="674" w:type="pct"/>
            <w:vAlign w:val="center"/>
          </w:tcPr>
          <w:p w14:paraId="7A617B0B" w14:textId="77777777" w:rsidR="00EC629B" w:rsidRPr="00DB6E4E" w:rsidRDefault="00EC629B" w:rsidP="00DB6E4E">
            <w:pPr>
              <w:spacing w:after="120" w:line="240" w:lineRule="auto"/>
              <w:contextualSpacing/>
              <w:jc w:val="center"/>
              <w:rPr>
                <w:rFonts w:ascii="Palatino Linotype" w:hAnsi="Palatino Linotype" w:cs="Times New Roman"/>
              </w:rPr>
            </w:pPr>
            <w:bookmarkStart w:id="4" w:name="_Hlk215942430"/>
            <w:r w:rsidRPr="00DB6E4E">
              <w:rPr>
                <w:rFonts w:ascii="Palatino Linotype" w:hAnsi="Palatino Linotype" w:cs="Times New Roman"/>
              </w:rPr>
              <w:t>19.92998</w:t>
            </w:r>
            <w:bookmarkEnd w:id="4"/>
          </w:p>
        </w:tc>
      </w:tr>
      <w:tr w:rsidR="00EC629B" w:rsidRPr="00DB6E4E" w14:paraId="5035070E" w14:textId="77777777" w:rsidTr="00B8554C">
        <w:trPr>
          <w:trHeight w:val="431"/>
          <w:jc w:val="center"/>
        </w:trPr>
        <w:tc>
          <w:tcPr>
            <w:tcW w:w="514" w:type="pct"/>
            <w:vAlign w:val="center"/>
          </w:tcPr>
          <w:p w14:paraId="70F2E55F"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NNPA</w:t>
            </w:r>
          </w:p>
        </w:tc>
        <w:tc>
          <w:tcPr>
            <w:tcW w:w="416" w:type="pct"/>
            <w:vAlign w:val="center"/>
          </w:tcPr>
          <w:p w14:paraId="31565776"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145</w:t>
            </w:r>
          </w:p>
        </w:tc>
        <w:tc>
          <w:tcPr>
            <w:tcW w:w="808" w:type="pct"/>
            <w:vAlign w:val="center"/>
          </w:tcPr>
          <w:p w14:paraId="58661DB6"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1.367883</w:t>
            </w:r>
          </w:p>
        </w:tc>
        <w:tc>
          <w:tcPr>
            <w:tcW w:w="808" w:type="pct"/>
            <w:vAlign w:val="center"/>
          </w:tcPr>
          <w:p w14:paraId="608EB2C5"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0.970000</w:t>
            </w:r>
          </w:p>
        </w:tc>
        <w:tc>
          <w:tcPr>
            <w:tcW w:w="883" w:type="pct"/>
            <w:vAlign w:val="center"/>
          </w:tcPr>
          <w:p w14:paraId="5D6D1FBC"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5.490000</w:t>
            </w:r>
          </w:p>
        </w:tc>
        <w:tc>
          <w:tcPr>
            <w:tcW w:w="897" w:type="pct"/>
            <w:vAlign w:val="center"/>
          </w:tcPr>
          <w:p w14:paraId="3E6745EA"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0.040000</w:t>
            </w:r>
          </w:p>
        </w:tc>
        <w:tc>
          <w:tcPr>
            <w:tcW w:w="674" w:type="pct"/>
            <w:vAlign w:val="center"/>
          </w:tcPr>
          <w:p w14:paraId="1AF1FAF3"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1.180978</w:t>
            </w:r>
          </w:p>
        </w:tc>
      </w:tr>
      <w:tr w:rsidR="00EC629B" w:rsidRPr="00DB6E4E" w14:paraId="53650E61" w14:textId="77777777" w:rsidTr="00B8554C">
        <w:trPr>
          <w:trHeight w:val="431"/>
          <w:jc w:val="center"/>
        </w:trPr>
        <w:tc>
          <w:tcPr>
            <w:tcW w:w="514" w:type="pct"/>
            <w:vAlign w:val="center"/>
          </w:tcPr>
          <w:p w14:paraId="1D5C8891"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CASA</w:t>
            </w:r>
          </w:p>
        </w:tc>
        <w:tc>
          <w:tcPr>
            <w:tcW w:w="416" w:type="pct"/>
            <w:vAlign w:val="center"/>
          </w:tcPr>
          <w:p w14:paraId="01EFEC69"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145</w:t>
            </w:r>
          </w:p>
        </w:tc>
        <w:tc>
          <w:tcPr>
            <w:tcW w:w="808" w:type="pct"/>
            <w:vAlign w:val="center"/>
          </w:tcPr>
          <w:p w14:paraId="6C4D216D"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41.22679</w:t>
            </w:r>
          </w:p>
        </w:tc>
        <w:tc>
          <w:tcPr>
            <w:tcW w:w="808" w:type="pct"/>
            <w:vAlign w:val="center"/>
          </w:tcPr>
          <w:p w14:paraId="66085606"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41.11000</w:t>
            </w:r>
          </w:p>
        </w:tc>
        <w:tc>
          <w:tcPr>
            <w:tcW w:w="883" w:type="pct"/>
            <w:vAlign w:val="center"/>
          </w:tcPr>
          <w:p w14:paraId="68D905A9"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74.83000</w:t>
            </w:r>
          </w:p>
        </w:tc>
        <w:tc>
          <w:tcPr>
            <w:tcW w:w="897" w:type="pct"/>
            <w:vAlign w:val="center"/>
          </w:tcPr>
          <w:p w14:paraId="68BB0A4B"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11.93000</w:t>
            </w:r>
          </w:p>
        </w:tc>
        <w:tc>
          <w:tcPr>
            <w:tcW w:w="674" w:type="pct"/>
            <w:vAlign w:val="center"/>
          </w:tcPr>
          <w:p w14:paraId="6A86E0A5"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17.79339</w:t>
            </w:r>
          </w:p>
        </w:tc>
      </w:tr>
      <w:tr w:rsidR="00EC629B" w:rsidRPr="00DB6E4E" w14:paraId="4F937F6F" w14:textId="77777777" w:rsidTr="00B8554C">
        <w:trPr>
          <w:trHeight w:val="431"/>
          <w:jc w:val="center"/>
        </w:trPr>
        <w:tc>
          <w:tcPr>
            <w:tcW w:w="514" w:type="pct"/>
            <w:vAlign w:val="center"/>
          </w:tcPr>
          <w:p w14:paraId="66E5836A"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NIM</w:t>
            </w:r>
          </w:p>
        </w:tc>
        <w:tc>
          <w:tcPr>
            <w:tcW w:w="416" w:type="pct"/>
            <w:vAlign w:val="center"/>
          </w:tcPr>
          <w:p w14:paraId="0DEF7418"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145</w:t>
            </w:r>
          </w:p>
        </w:tc>
        <w:tc>
          <w:tcPr>
            <w:tcW w:w="808" w:type="pct"/>
            <w:vAlign w:val="center"/>
          </w:tcPr>
          <w:p w14:paraId="3645767D"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4.680876</w:t>
            </w:r>
          </w:p>
        </w:tc>
        <w:tc>
          <w:tcPr>
            <w:tcW w:w="808" w:type="pct"/>
            <w:vAlign w:val="center"/>
          </w:tcPr>
          <w:p w14:paraId="21DF74FA"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4.420000</w:t>
            </w:r>
          </w:p>
        </w:tc>
        <w:tc>
          <w:tcPr>
            <w:tcW w:w="883" w:type="pct"/>
            <w:vAlign w:val="center"/>
          </w:tcPr>
          <w:p w14:paraId="14974CF3"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18.39000</w:t>
            </w:r>
          </w:p>
        </w:tc>
        <w:tc>
          <w:tcPr>
            <w:tcW w:w="897" w:type="pct"/>
            <w:vAlign w:val="center"/>
          </w:tcPr>
          <w:p w14:paraId="0B6FCD9D"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0.220000</w:t>
            </w:r>
          </w:p>
        </w:tc>
        <w:tc>
          <w:tcPr>
            <w:tcW w:w="674" w:type="pct"/>
            <w:vAlign w:val="center"/>
          </w:tcPr>
          <w:p w14:paraId="5B2FB083"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2.500766</w:t>
            </w:r>
          </w:p>
        </w:tc>
      </w:tr>
      <w:tr w:rsidR="00EC629B" w:rsidRPr="00DB6E4E" w14:paraId="7728A7FD" w14:textId="77777777" w:rsidTr="00B8554C">
        <w:trPr>
          <w:trHeight w:val="431"/>
          <w:jc w:val="center"/>
        </w:trPr>
        <w:tc>
          <w:tcPr>
            <w:tcW w:w="514" w:type="pct"/>
            <w:vAlign w:val="center"/>
          </w:tcPr>
          <w:p w14:paraId="688CAA1A"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LATA</w:t>
            </w:r>
          </w:p>
        </w:tc>
        <w:tc>
          <w:tcPr>
            <w:tcW w:w="416" w:type="pct"/>
            <w:vAlign w:val="center"/>
          </w:tcPr>
          <w:p w14:paraId="77668D0C"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145</w:t>
            </w:r>
          </w:p>
        </w:tc>
        <w:tc>
          <w:tcPr>
            <w:tcW w:w="808" w:type="pct"/>
            <w:vAlign w:val="center"/>
          </w:tcPr>
          <w:p w14:paraId="343DEAE3"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21.56818</w:t>
            </w:r>
          </w:p>
        </w:tc>
        <w:tc>
          <w:tcPr>
            <w:tcW w:w="808" w:type="pct"/>
            <w:vAlign w:val="center"/>
          </w:tcPr>
          <w:p w14:paraId="4668E519"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17.44000</w:t>
            </w:r>
          </w:p>
        </w:tc>
        <w:tc>
          <w:tcPr>
            <w:tcW w:w="883" w:type="pct"/>
            <w:vAlign w:val="center"/>
          </w:tcPr>
          <w:p w14:paraId="4129D9BB"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74.26000</w:t>
            </w:r>
          </w:p>
        </w:tc>
        <w:tc>
          <w:tcPr>
            <w:tcW w:w="897" w:type="pct"/>
            <w:vAlign w:val="center"/>
          </w:tcPr>
          <w:p w14:paraId="7D92B91D"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5.590000</w:t>
            </w:r>
          </w:p>
        </w:tc>
        <w:tc>
          <w:tcPr>
            <w:tcW w:w="674" w:type="pct"/>
            <w:vAlign w:val="center"/>
          </w:tcPr>
          <w:p w14:paraId="00D49A1B"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rPr>
              <w:t>12.76368</w:t>
            </w:r>
          </w:p>
        </w:tc>
      </w:tr>
      <w:tr w:rsidR="00EC629B" w:rsidRPr="00DB6E4E" w14:paraId="337B6719" w14:textId="77777777" w:rsidTr="00B8554C">
        <w:trPr>
          <w:trHeight w:val="431"/>
          <w:jc w:val="center"/>
        </w:trPr>
        <w:tc>
          <w:tcPr>
            <w:tcW w:w="514" w:type="pct"/>
            <w:vAlign w:val="center"/>
          </w:tcPr>
          <w:p w14:paraId="6DC19F3A"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SIZE</w:t>
            </w:r>
          </w:p>
        </w:tc>
        <w:tc>
          <w:tcPr>
            <w:tcW w:w="416" w:type="pct"/>
            <w:vAlign w:val="center"/>
          </w:tcPr>
          <w:p w14:paraId="3806654A"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145</w:t>
            </w:r>
          </w:p>
        </w:tc>
        <w:tc>
          <w:tcPr>
            <w:tcW w:w="808" w:type="pct"/>
            <w:vAlign w:val="center"/>
          </w:tcPr>
          <w:p w14:paraId="68688D0A"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18.42650</w:t>
            </w:r>
          </w:p>
        </w:tc>
        <w:tc>
          <w:tcPr>
            <w:tcW w:w="808" w:type="pct"/>
            <w:vAlign w:val="center"/>
          </w:tcPr>
          <w:p w14:paraId="0DF7AB94"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18.72000</w:t>
            </w:r>
          </w:p>
        </w:tc>
        <w:tc>
          <w:tcPr>
            <w:tcW w:w="883" w:type="pct"/>
            <w:vAlign w:val="center"/>
          </w:tcPr>
          <w:p w14:paraId="717DF24D"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21.61000</w:t>
            </w:r>
          </w:p>
        </w:tc>
        <w:tc>
          <w:tcPr>
            <w:tcW w:w="897" w:type="pct"/>
            <w:vAlign w:val="center"/>
          </w:tcPr>
          <w:p w14:paraId="07C57441"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15.50000</w:t>
            </w:r>
          </w:p>
        </w:tc>
        <w:tc>
          <w:tcPr>
            <w:tcW w:w="674" w:type="pct"/>
            <w:vAlign w:val="center"/>
          </w:tcPr>
          <w:p w14:paraId="3D0993E4"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1.681438</w:t>
            </w:r>
          </w:p>
        </w:tc>
      </w:tr>
      <w:tr w:rsidR="00EC629B" w:rsidRPr="00DB6E4E" w14:paraId="46D2184D" w14:textId="77777777" w:rsidTr="00B8554C">
        <w:trPr>
          <w:trHeight w:val="431"/>
          <w:jc w:val="center"/>
        </w:trPr>
        <w:tc>
          <w:tcPr>
            <w:tcW w:w="514" w:type="pct"/>
            <w:vAlign w:val="center"/>
          </w:tcPr>
          <w:p w14:paraId="202EF8AF"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SPG</w:t>
            </w:r>
          </w:p>
        </w:tc>
        <w:tc>
          <w:tcPr>
            <w:tcW w:w="416" w:type="pct"/>
            <w:vAlign w:val="center"/>
          </w:tcPr>
          <w:p w14:paraId="450719CE" w14:textId="77777777" w:rsidR="00EC629B" w:rsidRPr="00DB6E4E" w:rsidRDefault="00EC629B" w:rsidP="00DB6E4E">
            <w:pPr>
              <w:spacing w:after="120" w:line="240" w:lineRule="auto"/>
              <w:contextualSpacing/>
              <w:jc w:val="center"/>
              <w:rPr>
                <w:rFonts w:ascii="Palatino Linotype" w:hAnsi="Palatino Linotype" w:cs="Times New Roman"/>
                <w:lang w:val="id-ID"/>
              </w:rPr>
            </w:pPr>
            <w:r w:rsidRPr="00DB6E4E">
              <w:rPr>
                <w:rFonts w:ascii="Palatino Linotype" w:hAnsi="Palatino Linotype" w:cs="Times New Roman"/>
                <w:lang w:val="id-ID"/>
              </w:rPr>
              <w:t>145</w:t>
            </w:r>
          </w:p>
        </w:tc>
        <w:tc>
          <w:tcPr>
            <w:tcW w:w="808" w:type="pct"/>
            <w:vAlign w:val="center"/>
          </w:tcPr>
          <w:p w14:paraId="3C75D192"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21.43796</w:t>
            </w:r>
          </w:p>
        </w:tc>
        <w:tc>
          <w:tcPr>
            <w:tcW w:w="808" w:type="pct"/>
            <w:vAlign w:val="center"/>
          </w:tcPr>
          <w:p w14:paraId="0EF5B0CC"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-5.230000</w:t>
            </w:r>
          </w:p>
        </w:tc>
        <w:tc>
          <w:tcPr>
            <w:tcW w:w="883" w:type="pct"/>
            <w:vAlign w:val="center"/>
          </w:tcPr>
          <w:p w14:paraId="028C4506"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757.1400</w:t>
            </w:r>
          </w:p>
        </w:tc>
        <w:tc>
          <w:tcPr>
            <w:tcW w:w="897" w:type="pct"/>
            <w:vAlign w:val="center"/>
          </w:tcPr>
          <w:p w14:paraId="5A40B286"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-91.37000</w:t>
            </w:r>
          </w:p>
        </w:tc>
        <w:tc>
          <w:tcPr>
            <w:tcW w:w="674" w:type="pct"/>
            <w:vAlign w:val="center"/>
          </w:tcPr>
          <w:p w14:paraId="7F0D931F" w14:textId="77777777" w:rsidR="00EC629B" w:rsidRPr="00DB6E4E" w:rsidRDefault="00EC629B" w:rsidP="00DB6E4E">
            <w:pPr>
              <w:spacing w:after="120" w:line="240" w:lineRule="auto"/>
              <w:contextualSpacing/>
              <w:jc w:val="center"/>
              <w:rPr>
                <w:rFonts w:ascii="Palatino Linotype" w:hAnsi="Palatino Linotype" w:cs="Times New Roman"/>
              </w:rPr>
            </w:pPr>
            <w:r w:rsidRPr="00DB6E4E">
              <w:rPr>
                <w:rFonts w:ascii="Palatino Linotype" w:hAnsi="Palatino Linotype" w:cs="Times New Roman"/>
              </w:rPr>
              <w:t>116.9490</w:t>
            </w:r>
          </w:p>
        </w:tc>
      </w:tr>
    </w:tbl>
    <w:p w14:paraId="1EB1CC7A" w14:textId="31890D4A" w:rsidR="00F13854" w:rsidRPr="00DB6E4E" w:rsidRDefault="00F13854" w:rsidP="00DB6E4E">
      <w:pPr>
        <w:spacing w:after="120" w:line="240" w:lineRule="auto"/>
        <w:contextualSpacing/>
        <w:jc w:val="center"/>
        <w:rPr>
          <w:rFonts w:ascii="Palatino Linotype" w:hAnsi="Palatino Linotype" w:cstheme="majorBidi"/>
          <w:b/>
          <w:bCs/>
          <w:szCs w:val="24"/>
        </w:rPr>
      </w:pPr>
      <w:r w:rsidRPr="00DB6E4E">
        <w:rPr>
          <w:rFonts w:ascii="Palatino Linotype" w:hAnsi="Palatino Linotype" w:cstheme="majorBidi"/>
          <w:b/>
          <w:bCs/>
          <w:szCs w:val="24"/>
        </w:rPr>
        <w:t xml:space="preserve">Source: </w:t>
      </w:r>
      <w:r w:rsidR="00EC629B" w:rsidRPr="00DB6E4E">
        <w:rPr>
          <w:rFonts w:ascii="Palatino Linotype" w:eastAsiaTheme="majorEastAsia" w:hAnsi="Palatino Linotype" w:cstheme="majorBidi"/>
          <w:b/>
          <w:bCs/>
          <w:szCs w:val="24"/>
        </w:rPr>
        <w:t>eviews9</w:t>
      </w:r>
      <w:r w:rsidRPr="00DB6E4E">
        <w:rPr>
          <w:rFonts w:ascii="Palatino Linotype" w:eastAsiaTheme="majorEastAsia" w:hAnsi="Palatino Linotype" w:cstheme="majorBidi"/>
          <w:b/>
          <w:bCs/>
          <w:szCs w:val="24"/>
        </w:rPr>
        <w:t xml:space="preserve"> (2025)</w:t>
      </w:r>
    </w:p>
    <w:p w14:paraId="25FE1420" w14:textId="190F76D8" w:rsidR="00F13854" w:rsidRPr="00DB6E4E" w:rsidRDefault="00F13854" w:rsidP="00DB6E4E">
      <w:pPr>
        <w:spacing w:after="120" w:line="240" w:lineRule="auto"/>
        <w:ind w:firstLine="720"/>
        <w:contextualSpacing/>
        <w:rPr>
          <w:rFonts w:ascii="Palatino Linotype" w:hAnsi="Palatino Linotype" w:cs="Times New Roman"/>
          <w:szCs w:val="24"/>
          <w:lang w:val="en-ID"/>
        </w:rPr>
      </w:pPr>
      <w:r w:rsidRPr="00DB6E4E">
        <w:rPr>
          <w:rFonts w:ascii="Palatino Linotype" w:hAnsi="Palatino Linotype" w:cs="Times New Roman"/>
          <w:szCs w:val="24"/>
          <w:lang w:val="en-ID"/>
        </w:rPr>
        <w:t>Based on the table above, it can be seen that:</w:t>
      </w:r>
    </w:p>
    <w:p w14:paraId="554C8DD7" w14:textId="77777777" w:rsidR="00EC629B" w:rsidRPr="00DB6E4E" w:rsidRDefault="00EC629B" w:rsidP="00DB6E4E">
      <w:pPr>
        <w:pStyle w:val="NormalWeb"/>
        <w:numPr>
          <w:ilvl w:val="0"/>
          <w:numId w:val="60"/>
        </w:numPr>
        <w:spacing w:before="0" w:beforeAutospacing="0" w:after="120" w:afterAutospacing="0"/>
        <w:ind w:left="426"/>
        <w:contextualSpacing/>
        <w:jc w:val="both"/>
        <w:rPr>
          <w:rFonts w:ascii="Palatino Linotype" w:hAnsi="Palatino Linotype"/>
        </w:rPr>
      </w:pPr>
      <w:r w:rsidRPr="00DB6E4E">
        <w:rPr>
          <w:rFonts w:ascii="Palatino Linotype" w:hAnsi="Palatino Linotype"/>
        </w:rPr>
        <w:t>The Capital Adequacy Ratio (CAR) variable records a minimum value of 10.50 for PT Bank Mayapada Internasional Tbk in 2024 and a maximum value of 169.92 for PT Bank Jago Tbk in 2021. The standard deviation (19.93), which is lower than the mean value (31.35), indicates low data variability.</w:t>
      </w:r>
    </w:p>
    <w:p w14:paraId="74EA60D2" w14:textId="77777777" w:rsidR="00EC629B" w:rsidRPr="00DB6E4E" w:rsidRDefault="00EC629B" w:rsidP="00DB6E4E">
      <w:pPr>
        <w:pStyle w:val="NormalWeb"/>
        <w:numPr>
          <w:ilvl w:val="0"/>
          <w:numId w:val="60"/>
        </w:numPr>
        <w:spacing w:before="0" w:beforeAutospacing="0" w:after="120" w:afterAutospacing="0"/>
        <w:ind w:left="426"/>
        <w:contextualSpacing/>
        <w:jc w:val="both"/>
        <w:rPr>
          <w:rFonts w:ascii="Palatino Linotype" w:hAnsi="Palatino Linotype"/>
        </w:rPr>
      </w:pPr>
      <w:r w:rsidRPr="00DB6E4E">
        <w:rPr>
          <w:rFonts w:ascii="Palatino Linotype" w:hAnsi="Palatino Linotype"/>
        </w:rPr>
        <w:t>The Net Non-Performing Assets (NNPA) variable shows a minimum value of 0.04 for PT Bank Jago Tbk in 2020 and a maximum value of 5.49 for PT Bank Mayapada Internasional Tbk in 2022. The standard deviation (1.18), which is lower than the mean (1.37), suggests relatively homogeneous data distribution.</w:t>
      </w:r>
    </w:p>
    <w:p w14:paraId="5E9151D2" w14:textId="77777777" w:rsidR="00EC629B" w:rsidRPr="00DB6E4E" w:rsidRDefault="00EC629B" w:rsidP="00DB6E4E">
      <w:pPr>
        <w:pStyle w:val="NormalWeb"/>
        <w:numPr>
          <w:ilvl w:val="0"/>
          <w:numId w:val="60"/>
        </w:numPr>
        <w:spacing w:before="0" w:beforeAutospacing="0" w:after="120" w:afterAutospacing="0"/>
        <w:ind w:left="426"/>
        <w:contextualSpacing/>
        <w:jc w:val="both"/>
        <w:rPr>
          <w:rFonts w:ascii="Palatino Linotype" w:hAnsi="Palatino Linotype"/>
        </w:rPr>
      </w:pPr>
      <w:r w:rsidRPr="00DB6E4E">
        <w:rPr>
          <w:rFonts w:ascii="Palatino Linotype" w:hAnsi="Palatino Linotype"/>
        </w:rPr>
        <w:t>The Current Account Savings Account (CASA) variable has a minimum value of 11.93 for PT Bank Mayapada Internasional Tbk in 2024 and a maximum value of 74.83 for PT Bank Mandiri (Persero) Tbk in 2024. A standard deviation of 17.79, which is smaller than the mean value of 41.23, indicates controlled data variation.</w:t>
      </w:r>
    </w:p>
    <w:p w14:paraId="07FCD71C" w14:textId="77777777" w:rsidR="00EC629B" w:rsidRPr="00DB6E4E" w:rsidRDefault="00EC629B" w:rsidP="00DB6E4E">
      <w:pPr>
        <w:pStyle w:val="NormalWeb"/>
        <w:numPr>
          <w:ilvl w:val="0"/>
          <w:numId w:val="60"/>
        </w:numPr>
        <w:spacing w:before="0" w:beforeAutospacing="0" w:after="120" w:afterAutospacing="0"/>
        <w:ind w:left="426"/>
        <w:contextualSpacing/>
        <w:jc w:val="both"/>
        <w:rPr>
          <w:rFonts w:ascii="Palatino Linotype" w:hAnsi="Palatino Linotype"/>
        </w:rPr>
      </w:pPr>
      <w:r w:rsidRPr="00DB6E4E">
        <w:rPr>
          <w:rFonts w:ascii="Palatino Linotype" w:hAnsi="Palatino Linotype"/>
        </w:rPr>
        <w:t>The Net Interest Margin (NIM) variable reports a minimum value of 0.22 for PT Bank Mayapada Internasional Tbk in 2020 and a maximum value of 18.39 for PT Bank Rakyat Indonesia (Persero) Tbk in 2021. The standard deviation (2.50), which is lower than the mean (4.68), reflects relatively limited dispersion.</w:t>
      </w:r>
    </w:p>
    <w:p w14:paraId="09D4FD48" w14:textId="77777777" w:rsidR="00EC629B" w:rsidRPr="00DB6E4E" w:rsidRDefault="00EC629B" w:rsidP="00DB6E4E">
      <w:pPr>
        <w:pStyle w:val="NormalWeb"/>
        <w:numPr>
          <w:ilvl w:val="0"/>
          <w:numId w:val="60"/>
        </w:numPr>
        <w:spacing w:before="0" w:beforeAutospacing="0" w:after="120" w:afterAutospacing="0"/>
        <w:ind w:left="426"/>
        <w:contextualSpacing/>
        <w:jc w:val="both"/>
        <w:rPr>
          <w:rFonts w:ascii="Palatino Linotype" w:hAnsi="Palatino Linotype"/>
        </w:rPr>
      </w:pPr>
      <w:r w:rsidRPr="00DB6E4E">
        <w:rPr>
          <w:rFonts w:ascii="Palatino Linotype" w:hAnsi="Palatino Linotype"/>
        </w:rPr>
        <w:t xml:space="preserve">The Liquid Assets to Total Assets (LATA) variable shows a minimum value of 5.59 for PT Bank Mestika Dharma Tbk in 2020 and a maximum value of </w:t>
      </w:r>
      <w:r w:rsidRPr="00DB6E4E">
        <w:rPr>
          <w:rFonts w:ascii="Palatino Linotype" w:hAnsi="Palatino Linotype"/>
        </w:rPr>
        <w:lastRenderedPageBreak/>
        <w:t>74.26 for PT Bank Mega Tbk in 2021. The standard deviation (12.76), which is smaller than the mean (21.57), indicates low variability.</w:t>
      </w:r>
    </w:p>
    <w:p w14:paraId="4B0557CC" w14:textId="77777777" w:rsidR="00EC629B" w:rsidRPr="00DB6E4E" w:rsidRDefault="00EC629B" w:rsidP="00DB6E4E">
      <w:pPr>
        <w:pStyle w:val="NormalWeb"/>
        <w:numPr>
          <w:ilvl w:val="0"/>
          <w:numId w:val="60"/>
        </w:numPr>
        <w:spacing w:before="0" w:beforeAutospacing="0" w:after="120" w:afterAutospacing="0"/>
        <w:ind w:left="426"/>
        <w:contextualSpacing/>
        <w:jc w:val="both"/>
        <w:rPr>
          <w:rFonts w:ascii="Palatino Linotype" w:hAnsi="Palatino Linotype"/>
        </w:rPr>
      </w:pPr>
      <w:r w:rsidRPr="00DB6E4E">
        <w:rPr>
          <w:rFonts w:ascii="Palatino Linotype" w:hAnsi="Palatino Linotype"/>
        </w:rPr>
        <w:t>Bank size (Size) records a minimum value of 15.50 for PT Bank Jago Tbk in 2020 and a maximum value of 21.61 for PT Bank Neo Commerce Tbk in 2024. The standard deviation (1.68), which is lower than the mean value (18.43), suggests a homogeneous distribution.</w:t>
      </w:r>
    </w:p>
    <w:p w14:paraId="71CC269E" w14:textId="44D825CB" w:rsidR="00EC629B" w:rsidRPr="00DB6E4E" w:rsidRDefault="00EC629B" w:rsidP="00DB6E4E">
      <w:pPr>
        <w:pStyle w:val="NormalWeb"/>
        <w:numPr>
          <w:ilvl w:val="0"/>
          <w:numId w:val="60"/>
        </w:numPr>
        <w:spacing w:before="0" w:beforeAutospacing="0" w:after="120" w:afterAutospacing="0"/>
        <w:ind w:left="426"/>
        <w:contextualSpacing/>
        <w:jc w:val="both"/>
        <w:rPr>
          <w:rFonts w:ascii="Palatino Linotype" w:hAnsi="Palatino Linotype"/>
        </w:rPr>
      </w:pPr>
      <w:r w:rsidRPr="00DB6E4E">
        <w:rPr>
          <w:rFonts w:ascii="Palatino Linotype" w:hAnsi="Palatino Linotype"/>
        </w:rPr>
        <w:t>Share Price Growth (SPG) exhibits a minimum value of −91.37 for PT Bank Mayapada Internasional Tbk in 2021 and a maximum value of 757.14 for PT Bank Bumi Arta Tbk in 2021. The standard deviation (116.95), which exceeds the mean value (21.44), indicates high variability and substantial dispersion in the data.</w:t>
      </w:r>
    </w:p>
    <w:p w14:paraId="4026FE73" w14:textId="444541EC" w:rsidR="00F13854" w:rsidRPr="00DB6E4E" w:rsidRDefault="00E31EF0" w:rsidP="00DB6E4E">
      <w:pPr>
        <w:pBdr>
          <w:top w:val="nil"/>
          <w:left w:val="nil"/>
          <w:bottom w:val="nil"/>
          <w:right w:val="nil"/>
          <w:between w:val="nil"/>
        </w:pBdr>
        <w:spacing w:after="120" w:line="240" w:lineRule="auto"/>
        <w:contextualSpacing/>
        <w:rPr>
          <w:rFonts w:ascii="Palatino Linotype" w:eastAsia="Arial" w:hAnsi="Palatino Linotype" w:cstheme="majorBidi"/>
          <w:b/>
          <w:bCs/>
          <w:color w:val="000000"/>
          <w:szCs w:val="24"/>
        </w:rPr>
      </w:pPr>
      <w:r w:rsidRPr="00DB6E4E">
        <w:rPr>
          <w:rFonts w:ascii="Palatino Linotype" w:eastAsia="Arial" w:hAnsi="Palatino Linotype" w:cstheme="majorBidi"/>
          <w:b/>
          <w:bCs/>
          <w:color w:val="000000"/>
          <w:szCs w:val="24"/>
        </w:rPr>
        <w:t>Chow test</w:t>
      </w:r>
    </w:p>
    <w:p w14:paraId="4D92841D" w14:textId="1FDD89E9" w:rsidR="00DB5F07" w:rsidRPr="00DB6E4E" w:rsidRDefault="00DB5F07" w:rsidP="00DB6E4E">
      <w:pPr>
        <w:pBdr>
          <w:top w:val="nil"/>
          <w:left w:val="nil"/>
          <w:bottom w:val="nil"/>
          <w:right w:val="nil"/>
          <w:between w:val="nil"/>
        </w:pBdr>
        <w:spacing w:after="120" w:line="240" w:lineRule="auto"/>
        <w:ind w:firstLine="360"/>
        <w:contextualSpacing/>
        <w:rPr>
          <w:rFonts w:ascii="Palatino Linotype" w:eastAsia="Arial" w:hAnsi="Palatino Linotype" w:cstheme="majorBidi"/>
          <w:color w:val="000000"/>
          <w:szCs w:val="24"/>
        </w:rPr>
      </w:pPr>
      <w:r w:rsidRPr="00DB6E4E">
        <w:rPr>
          <w:rFonts w:ascii="Palatino Linotype" w:eastAsia="Arial" w:hAnsi="Palatino Linotype" w:cstheme="majorBidi"/>
          <w:color w:val="000000"/>
          <w:szCs w:val="24"/>
        </w:rPr>
        <w:t xml:space="preserve">The results of the </w:t>
      </w:r>
      <w:r w:rsidR="00DB6E4E">
        <w:rPr>
          <w:rFonts w:ascii="Palatino Linotype" w:eastAsia="Arial" w:hAnsi="Palatino Linotype" w:cstheme="majorBidi"/>
          <w:color w:val="000000"/>
          <w:szCs w:val="24"/>
        </w:rPr>
        <w:t>Chow</w:t>
      </w:r>
      <w:r w:rsidRPr="00DB6E4E">
        <w:rPr>
          <w:rFonts w:ascii="Palatino Linotype" w:eastAsia="Arial" w:hAnsi="Palatino Linotype" w:cstheme="majorBidi"/>
          <w:color w:val="000000"/>
          <w:szCs w:val="24"/>
        </w:rPr>
        <w:t xml:space="preserve"> test using can be seen as follows:</w:t>
      </w:r>
    </w:p>
    <w:p w14:paraId="1D13D4DE" w14:textId="788EEE34" w:rsidR="00E31EF0" w:rsidRPr="00DB6E4E" w:rsidRDefault="00E31EF0" w:rsidP="00DB6E4E">
      <w:pPr>
        <w:pStyle w:val="Tabel1"/>
        <w:numPr>
          <w:ilvl w:val="0"/>
          <w:numId w:val="0"/>
        </w:numPr>
        <w:spacing w:after="120" w:line="240" w:lineRule="auto"/>
        <w:ind w:left="360"/>
        <w:contextualSpacing/>
        <w:rPr>
          <w:rFonts w:ascii="Palatino Linotype" w:hAnsi="Palatino Linotype"/>
          <w:color w:val="auto"/>
          <w:sz w:val="24"/>
          <w:szCs w:val="24"/>
        </w:rPr>
      </w:pPr>
      <w:bookmarkStart w:id="5" w:name="_Toc217672673"/>
      <w:r w:rsidRPr="00DB6E4E">
        <w:rPr>
          <w:rFonts w:ascii="Palatino Linotype" w:hAnsi="Palatino Linotype"/>
          <w:color w:val="auto"/>
          <w:sz w:val="24"/>
          <w:szCs w:val="24"/>
        </w:rPr>
        <w:t>Table.2</w:t>
      </w:r>
      <w:r w:rsidRPr="00DB6E4E">
        <w:rPr>
          <w:rFonts w:ascii="Palatino Linotype" w:hAnsi="Palatino Linotype"/>
          <w:color w:val="auto"/>
          <w:sz w:val="24"/>
          <w:szCs w:val="24"/>
        </w:rPr>
        <w:br/>
      </w:r>
      <w:bookmarkEnd w:id="5"/>
      <w:r w:rsidRPr="00DB6E4E">
        <w:rPr>
          <w:rFonts w:ascii="Palatino Linotype" w:hAnsi="Palatino Linotype"/>
          <w:color w:val="auto"/>
          <w:sz w:val="24"/>
          <w:szCs w:val="24"/>
        </w:rPr>
        <w:t xml:space="preserve">Result </w:t>
      </w:r>
      <w:r w:rsidR="00A62C04" w:rsidRPr="00DB6E4E">
        <w:rPr>
          <w:rFonts w:ascii="Palatino Linotype" w:hAnsi="Palatino Linotype"/>
          <w:color w:val="auto"/>
          <w:sz w:val="24"/>
          <w:szCs w:val="24"/>
        </w:rPr>
        <w:t xml:space="preserve">of </w:t>
      </w:r>
      <w:r w:rsidRPr="00DB6E4E">
        <w:rPr>
          <w:rFonts w:ascii="Palatino Linotype" w:hAnsi="Palatino Linotype"/>
          <w:color w:val="auto"/>
          <w:sz w:val="24"/>
          <w:szCs w:val="24"/>
        </w:rPr>
        <w:t>Chow Test</w:t>
      </w:r>
    </w:p>
    <w:tbl>
      <w:tblPr>
        <w:tblStyle w:val="KisiTabel"/>
        <w:tblpPr w:leftFromText="180" w:rightFromText="180" w:vertAnchor="text" w:horzAnchor="margin" w:tblpXSpec="center" w:tblpY="32"/>
        <w:tblW w:w="0" w:type="auto"/>
        <w:tblLayout w:type="fixed"/>
        <w:tblLook w:val="0000" w:firstRow="0" w:lastRow="0" w:firstColumn="0" w:lastColumn="0" w:noHBand="0" w:noVBand="0"/>
      </w:tblPr>
      <w:tblGrid>
        <w:gridCol w:w="3125"/>
        <w:gridCol w:w="997"/>
        <w:gridCol w:w="1554"/>
        <w:gridCol w:w="2399"/>
      </w:tblGrid>
      <w:tr w:rsidR="00E31EF0" w:rsidRPr="00DB6E4E" w14:paraId="70FDB10E" w14:textId="77777777" w:rsidTr="00DB6E4E">
        <w:trPr>
          <w:trHeight w:val="225"/>
        </w:trPr>
        <w:tc>
          <w:tcPr>
            <w:tcW w:w="8075" w:type="dxa"/>
            <w:gridSpan w:val="4"/>
          </w:tcPr>
          <w:p w14:paraId="1CD9F7A2" w14:textId="61DD9141" w:rsidR="00E31EF0" w:rsidRPr="00DB6E4E" w:rsidRDefault="00E31EF0" w:rsidP="00DB6E4E">
            <w:pPr>
              <w:spacing w:after="120" w:line="240" w:lineRule="auto"/>
              <w:contextualSpacing/>
              <w:jc w:val="center"/>
              <w:rPr>
                <w:rFonts w:ascii="Palatino Linotype" w:hAnsi="Palatino Linotype" w:cs="Times New Roman"/>
                <w:b/>
                <w:bCs/>
                <w:szCs w:val="24"/>
              </w:rPr>
            </w:pPr>
            <w:r w:rsidRPr="00DB6E4E">
              <w:rPr>
                <w:rFonts w:ascii="Palatino Linotype" w:hAnsi="Palatino Linotype" w:cs="Times New Roman"/>
                <w:b/>
                <w:bCs/>
                <w:szCs w:val="24"/>
              </w:rPr>
              <w:t xml:space="preserve">Chow </w:t>
            </w:r>
            <w:r w:rsidR="00DB6E4E" w:rsidRPr="00DB6E4E">
              <w:rPr>
                <w:rFonts w:ascii="Palatino Linotype" w:hAnsi="Palatino Linotype" w:cs="Times New Roman"/>
                <w:b/>
                <w:bCs/>
                <w:szCs w:val="24"/>
              </w:rPr>
              <w:t>Test</w:t>
            </w:r>
          </w:p>
        </w:tc>
      </w:tr>
      <w:tr w:rsidR="00E31EF0" w:rsidRPr="00DB6E4E" w14:paraId="4105EE4E" w14:textId="77777777" w:rsidTr="00DB6E4E">
        <w:trPr>
          <w:trHeight w:val="225"/>
        </w:trPr>
        <w:tc>
          <w:tcPr>
            <w:tcW w:w="3125" w:type="dxa"/>
          </w:tcPr>
          <w:p w14:paraId="4F7E508F" w14:textId="77777777" w:rsidR="00E31EF0" w:rsidRPr="00DB6E4E" w:rsidRDefault="00E31EF0" w:rsidP="00DB6E4E">
            <w:pPr>
              <w:spacing w:after="120" w:line="240" w:lineRule="auto"/>
              <w:contextualSpacing/>
              <w:jc w:val="center"/>
              <w:rPr>
                <w:rFonts w:ascii="Palatino Linotype" w:hAnsi="Palatino Linotype" w:cs="Times New Roman"/>
                <w:b/>
                <w:bCs/>
                <w:szCs w:val="24"/>
              </w:rPr>
            </w:pPr>
            <w:r w:rsidRPr="00DB6E4E">
              <w:rPr>
                <w:rFonts w:ascii="Palatino Linotype" w:hAnsi="Palatino Linotype" w:cs="Times New Roman"/>
                <w:b/>
                <w:bCs/>
                <w:szCs w:val="24"/>
              </w:rPr>
              <w:t>Effects Test</w:t>
            </w:r>
          </w:p>
        </w:tc>
        <w:tc>
          <w:tcPr>
            <w:tcW w:w="997" w:type="dxa"/>
          </w:tcPr>
          <w:p w14:paraId="3BE55C22" w14:textId="77777777" w:rsidR="00E31EF0" w:rsidRPr="00DB6E4E" w:rsidRDefault="00E31EF0" w:rsidP="00DB6E4E">
            <w:pPr>
              <w:spacing w:after="120" w:line="240" w:lineRule="auto"/>
              <w:contextualSpacing/>
              <w:jc w:val="center"/>
              <w:rPr>
                <w:rFonts w:ascii="Palatino Linotype" w:hAnsi="Palatino Linotype" w:cs="Times New Roman"/>
                <w:b/>
                <w:bCs/>
                <w:szCs w:val="24"/>
              </w:rPr>
            </w:pPr>
            <w:r w:rsidRPr="00DB6E4E">
              <w:rPr>
                <w:rFonts w:ascii="Palatino Linotype" w:hAnsi="Palatino Linotype" w:cs="Times New Roman"/>
                <w:b/>
                <w:bCs/>
                <w:szCs w:val="24"/>
              </w:rPr>
              <w:t>Prob.</w:t>
            </w:r>
          </w:p>
        </w:tc>
        <w:tc>
          <w:tcPr>
            <w:tcW w:w="1554" w:type="dxa"/>
          </w:tcPr>
          <w:p w14:paraId="690C6A8D" w14:textId="77777777" w:rsidR="00E31EF0" w:rsidRPr="00DB6E4E" w:rsidRDefault="00E31EF0" w:rsidP="00DB6E4E">
            <w:pPr>
              <w:spacing w:after="120" w:line="240" w:lineRule="auto"/>
              <w:contextualSpacing/>
              <w:jc w:val="center"/>
              <w:rPr>
                <w:rFonts w:ascii="Palatino Linotype" w:hAnsi="Palatino Linotype" w:cs="Times New Roman"/>
                <w:b/>
                <w:bCs/>
                <w:szCs w:val="24"/>
              </w:rPr>
            </w:pPr>
            <w:r w:rsidRPr="00DB6E4E">
              <w:rPr>
                <w:rFonts w:ascii="Palatino Linotype" w:hAnsi="Palatino Linotype" w:cs="Times New Roman"/>
                <w:b/>
                <w:bCs/>
                <w:szCs w:val="24"/>
              </w:rPr>
              <w:t>Hypothesis</w:t>
            </w:r>
          </w:p>
        </w:tc>
        <w:tc>
          <w:tcPr>
            <w:tcW w:w="2399" w:type="dxa"/>
          </w:tcPr>
          <w:p w14:paraId="1C609A23" w14:textId="77777777" w:rsidR="00E31EF0" w:rsidRPr="00DB6E4E" w:rsidRDefault="00E31EF0" w:rsidP="00DB6E4E">
            <w:pPr>
              <w:spacing w:after="120" w:line="240" w:lineRule="auto"/>
              <w:contextualSpacing/>
              <w:jc w:val="center"/>
              <w:rPr>
                <w:rFonts w:ascii="Palatino Linotype" w:hAnsi="Palatino Linotype" w:cs="Times New Roman"/>
                <w:b/>
                <w:bCs/>
                <w:szCs w:val="24"/>
              </w:rPr>
            </w:pPr>
            <w:r w:rsidRPr="00DB6E4E">
              <w:rPr>
                <w:rFonts w:ascii="Palatino Linotype" w:hAnsi="Palatino Linotype" w:cs="Times New Roman"/>
                <w:b/>
                <w:bCs/>
                <w:szCs w:val="24"/>
              </w:rPr>
              <w:t>Conclusion</w:t>
            </w:r>
          </w:p>
        </w:tc>
      </w:tr>
      <w:tr w:rsidR="00E31EF0" w:rsidRPr="00DB6E4E" w14:paraId="1B9F7ABD" w14:textId="77777777" w:rsidTr="00DB6E4E">
        <w:trPr>
          <w:trHeight w:val="449"/>
        </w:trPr>
        <w:tc>
          <w:tcPr>
            <w:tcW w:w="3125" w:type="dxa"/>
          </w:tcPr>
          <w:p w14:paraId="1B940C04" w14:textId="77777777" w:rsidR="00E31EF0" w:rsidRPr="00DB6E4E" w:rsidRDefault="00E31EF0"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Cross-section Chi-square</w:t>
            </w:r>
          </w:p>
        </w:tc>
        <w:tc>
          <w:tcPr>
            <w:tcW w:w="997" w:type="dxa"/>
          </w:tcPr>
          <w:p w14:paraId="199DBB97" w14:textId="77777777" w:rsidR="00E31EF0" w:rsidRPr="00DB6E4E" w:rsidRDefault="00E31EF0"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0.0088</w:t>
            </w:r>
          </w:p>
        </w:tc>
        <w:tc>
          <w:tcPr>
            <w:tcW w:w="1554" w:type="dxa"/>
          </w:tcPr>
          <w:p w14:paraId="533243EE" w14:textId="7CAAB1CA" w:rsidR="00E31EF0" w:rsidRPr="00DB6E4E" w:rsidRDefault="00E31EF0"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H</w:t>
            </w:r>
            <w:r w:rsidRPr="00DB6E4E">
              <w:rPr>
                <w:rFonts w:ascii="Palatino Linotype" w:hAnsi="Palatino Linotype" w:cs="Times New Roman"/>
                <w:szCs w:val="24"/>
                <w:vertAlign w:val="subscript"/>
              </w:rPr>
              <w:t>0</w:t>
            </w:r>
            <w:r w:rsidRPr="00DB6E4E">
              <w:rPr>
                <w:rFonts w:ascii="Palatino Linotype" w:hAnsi="Palatino Linotype" w:cs="Times New Roman"/>
                <w:szCs w:val="24"/>
              </w:rPr>
              <w:t xml:space="preserve"> </w:t>
            </w:r>
            <w:r w:rsidR="00DB6E4E">
              <w:rPr>
                <w:rFonts w:ascii="Palatino Linotype" w:hAnsi="Palatino Linotype" w:cs="Times New Roman"/>
                <w:szCs w:val="24"/>
              </w:rPr>
              <w:t>rejected</w:t>
            </w:r>
          </w:p>
        </w:tc>
        <w:tc>
          <w:tcPr>
            <w:tcW w:w="2399" w:type="dxa"/>
          </w:tcPr>
          <w:p w14:paraId="4A64E484" w14:textId="77777777" w:rsidR="00E31EF0" w:rsidRPr="00DB6E4E" w:rsidRDefault="00E31EF0"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Fixed Effect Model</w:t>
            </w:r>
          </w:p>
        </w:tc>
      </w:tr>
    </w:tbl>
    <w:p w14:paraId="04EAD74B" w14:textId="2BEF4479" w:rsidR="00F13854" w:rsidRPr="00DB6E4E" w:rsidRDefault="00F13854" w:rsidP="00DB6E4E">
      <w:pPr>
        <w:spacing w:after="120" w:line="240" w:lineRule="auto"/>
        <w:contextualSpacing/>
        <w:jc w:val="center"/>
        <w:rPr>
          <w:rFonts w:ascii="Palatino Linotype" w:eastAsiaTheme="majorEastAsia" w:hAnsi="Palatino Linotype" w:cstheme="majorBidi"/>
          <w:b/>
          <w:bCs/>
          <w:szCs w:val="24"/>
        </w:rPr>
      </w:pPr>
      <w:r w:rsidRPr="00DB6E4E">
        <w:rPr>
          <w:rFonts w:ascii="Palatino Linotype" w:hAnsi="Palatino Linotype" w:cstheme="majorBidi"/>
          <w:b/>
          <w:bCs/>
          <w:szCs w:val="24"/>
        </w:rPr>
        <w:t xml:space="preserve">Source: </w:t>
      </w:r>
      <w:r w:rsidR="00E31EF0" w:rsidRPr="00DB6E4E">
        <w:rPr>
          <w:rFonts w:ascii="Palatino Linotype" w:eastAsiaTheme="majorEastAsia" w:hAnsi="Palatino Linotype" w:cstheme="majorBidi"/>
          <w:b/>
          <w:bCs/>
          <w:szCs w:val="24"/>
        </w:rPr>
        <w:t>eviews9</w:t>
      </w:r>
      <w:r w:rsidRPr="00DB6E4E">
        <w:rPr>
          <w:rFonts w:ascii="Palatino Linotype" w:eastAsiaTheme="majorEastAsia" w:hAnsi="Palatino Linotype" w:cstheme="majorBidi"/>
          <w:b/>
          <w:bCs/>
          <w:szCs w:val="24"/>
        </w:rPr>
        <w:t xml:space="preserve"> (2025)</w:t>
      </w:r>
    </w:p>
    <w:p w14:paraId="203D4264" w14:textId="77777777" w:rsidR="00E31EF0" w:rsidRPr="00DB6E4E" w:rsidRDefault="00E31EF0" w:rsidP="00DB6E4E">
      <w:pPr>
        <w:spacing w:after="120" w:line="240" w:lineRule="auto"/>
        <w:contextualSpacing/>
        <w:jc w:val="center"/>
        <w:rPr>
          <w:rFonts w:ascii="Palatino Linotype" w:hAnsi="Palatino Linotype" w:cstheme="majorBidi"/>
          <w:b/>
          <w:bCs/>
          <w:szCs w:val="24"/>
        </w:rPr>
      </w:pPr>
    </w:p>
    <w:p w14:paraId="40520A26" w14:textId="573F77C0" w:rsidR="00F13854" w:rsidRPr="00DB6E4E" w:rsidRDefault="00E31EF0"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The results indicate that the Prob. Cross-Section Chi-Square value of 0.0088 is less than 0.05, leading to the rejection of the null hypothesis. Accordingly, the fixed effects model is selected, and the Hausman test is subsequently conducted</w:t>
      </w:r>
      <w:r w:rsidR="005F1391" w:rsidRPr="00DB6E4E">
        <w:rPr>
          <w:rFonts w:ascii="Palatino Linotype" w:hAnsi="Palatino Linotype" w:cstheme="majorBidi"/>
          <w:szCs w:val="24"/>
        </w:rPr>
        <w:t xml:space="preserve"> </w:t>
      </w:r>
      <w:r w:rsidRPr="00DB6E4E">
        <w:rPr>
          <w:rFonts w:ascii="Palatino Linotype" w:hAnsi="Palatino Linotype" w:cstheme="majorBidi"/>
          <w:szCs w:val="24"/>
        </w:rPr>
        <w:t>to confirm the appropriate panel data model.</w:t>
      </w:r>
    </w:p>
    <w:p w14:paraId="265C2C99" w14:textId="677E9F46" w:rsidR="00F13854" w:rsidRPr="00DB6E4E" w:rsidRDefault="005F1391" w:rsidP="00DB6E4E">
      <w:pPr>
        <w:spacing w:after="120" w:line="240" w:lineRule="auto"/>
        <w:contextualSpacing/>
        <w:jc w:val="lowKashida"/>
        <w:rPr>
          <w:rFonts w:ascii="Palatino Linotype" w:hAnsi="Palatino Linotype" w:cstheme="majorBidi"/>
          <w:b/>
          <w:bCs/>
          <w:szCs w:val="24"/>
        </w:rPr>
      </w:pPr>
      <w:r w:rsidRPr="00DB6E4E">
        <w:rPr>
          <w:rFonts w:ascii="Palatino Linotype" w:hAnsi="Palatino Linotype" w:cstheme="majorBidi"/>
          <w:b/>
          <w:bCs/>
          <w:szCs w:val="24"/>
        </w:rPr>
        <w:t xml:space="preserve">Hausman </w:t>
      </w:r>
      <w:r w:rsidR="00DB6E4E" w:rsidRPr="00DB6E4E">
        <w:rPr>
          <w:rFonts w:ascii="Palatino Linotype" w:hAnsi="Palatino Linotype" w:cstheme="majorBidi"/>
          <w:b/>
          <w:bCs/>
          <w:szCs w:val="24"/>
        </w:rPr>
        <w:t>Test</w:t>
      </w:r>
    </w:p>
    <w:p w14:paraId="3927A66D" w14:textId="27B9FD4A" w:rsidR="00F13854" w:rsidRPr="00DB6E4E" w:rsidRDefault="00F13854"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The results of the </w:t>
      </w:r>
      <w:r w:rsidR="00DB6E4E">
        <w:rPr>
          <w:rFonts w:ascii="Palatino Linotype" w:hAnsi="Palatino Linotype" w:cstheme="majorBidi"/>
          <w:szCs w:val="24"/>
        </w:rPr>
        <w:t>Hausman</w:t>
      </w:r>
      <w:r w:rsidRPr="00DB6E4E">
        <w:rPr>
          <w:rFonts w:ascii="Palatino Linotype" w:hAnsi="Palatino Linotype" w:cstheme="majorBidi"/>
          <w:szCs w:val="24"/>
        </w:rPr>
        <w:t xml:space="preserve"> test can be seen in the following table:</w:t>
      </w:r>
    </w:p>
    <w:p w14:paraId="7ED051C7" w14:textId="7AFFF3B2" w:rsidR="005F1391" w:rsidRPr="00DB6E4E" w:rsidRDefault="005F1391" w:rsidP="00DB6E4E">
      <w:pPr>
        <w:pStyle w:val="Tabel1"/>
        <w:numPr>
          <w:ilvl w:val="0"/>
          <w:numId w:val="0"/>
        </w:numPr>
        <w:spacing w:after="120" w:line="240" w:lineRule="auto"/>
        <w:contextualSpacing/>
        <w:rPr>
          <w:rFonts w:ascii="Palatino Linotype" w:hAnsi="Palatino Linotype"/>
          <w:color w:val="auto"/>
          <w:sz w:val="24"/>
          <w:szCs w:val="24"/>
        </w:rPr>
      </w:pPr>
      <w:bookmarkStart w:id="6" w:name="_Toc217672674"/>
      <w:r w:rsidRPr="00DB6E4E">
        <w:rPr>
          <w:rFonts w:ascii="Palatino Linotype" w:hAnsi="Palatino Linotype"/>
          <w:color w:val="auto"/>
          <w:sz w:val="24"/>
          <w:szCs w:val="24"/>
        </w:rPr>
        <w:t>Table.3</w:t>
      </w:r>
      <w:r w:rsidRPr="00DB6E4E">
        <w:rPr>
          <w:rFonts w:ascii="Palatino Linotype" w:hAnsi="Palatino Linotype"/>
          <w:color w:val="auto"/>
          <w:sz w:val="24"/>
          <w:szCs w:val="24"/>
        </w:rPr>
        <w:br/>
      </w:r>
      <w:bookmarkEnd w:id="6"/>
      <w:r w:rsidRPr="00DB6E4E">
        <w:rPr>
          <w:rFonts w:ascii="Palatino Linotype" w:hAnsi="Palatino Linotype"/>
          <w:color w:val="auto"/>
          <w:sz w:val="24"/>
          <w:szCs w:val="24"/>
        </w:rPr>
        <w:t xml:space="preserve">Result </w:t>
      </w:r>
      <w:r w:rsidR="00A62C04" w:rsidRPr="00DB6E4E">
        <w:rPr>
          <w:rFonts w:ascii="Palatino Linotype" w:hAnsi="Palatino Linotype"/>
          <w:color w:val="auto"/>
          <w:sz w:val="24"/>
          <w:szCs w:val="24"/>
        </w:rPr>
        <w:t xml:space="preserve">of </w:t>
      </w:r>
      <w:r w:rsidR="00DB6E4E">
        <w:rPr>
          <w:rFonts w:ascii="Palatino Linotype" w:hAnsi="Palatino Linotype"/>
          <w:color w:val="auto"/>
          <w:sz w:val="24"/>
          <w:szCs w:val="24"/>
        </w:rPr>
        <w:t xml:space="preserve">the </w:t>
      </w:r>
      <w:r w:rsidRPr="00DB6E4E">
        <w:rPr>
          <w:rFonts w:ascii="Palatino Linotype" w:hAnsi="Palatino Linotype"/>
          <w:color w:val="auto"/>
          <w:sz w:val="24"/>
          <w:szCs w:val="24"/>
        </w:rPr>
        <w:t>Hausman Test</w:t>
      </w:r>
    </w:p>
    <w:tbl>
      <w:tblPr>
        <w:tblStyle w:val="KisiTabel"/>
        <w:tblW w:w="0" w:type="auto"/>
        <w:jc w:val="center"/>
        <w:tblLayout w:type="fixed"/>
        <w:tblLook w:val="0000" w:firstRow="0" w:lastRow="0" w:firstColumn="0" w:lastColumn="0" w:noHBand="0" w:noVBand="0"/>
      </w:tblPr>
      <w:tblGrid>
        <w:gridCol w:w="2547"/>
        <w:gridCol w:w="992"/>
        <w:gridCol w:w="1985"/>
        <w:gridCol w:w="2421"/>
      </w:tblGrid>
      <w:tr w:rsidR="005F1391" w:rsidRPr="00DB6E4E" w14:paraId="21F4745A" w14:textId="77777777" w:rsidTr="00DB6E4E">
        <w:trPr>
          <w:trHeight w:val="457"/>
          <w:jc w:val="center"/>
        </w:trPr>
        <w:tc>
          <w:tcPr>
            <w:tcW w:w="7945" w:type="dxa"/>
            <w:gridSpan w:val="4"/>
          </w:tcPr>
          <w:p w14:paraId="18DE4471" w14:textId="77777777" w:rsidR="005F1391" w:rsidRPr="00DB6E4E" w:rsidRDefault="005F1391" w:rsidP="00DB6E4E">
            <w:pPr>
              <w:spacing w:after="120" w:line="240" w:lineRule="auto"/>
              <w:contextualSpacing/>
              <w:jc w:val="center"/>
              <w:rPr>
                <w:rFonts w:ascii="Palatino Linotype" w:hAnsi="Palatino Linotype" w:cs="Times New Roman"/>
                <w:b/>
                <w:bCs/>
                <w:szCs w:val="24"/>
              </w:rPr>
            </w:pPr>
            <w:r w:rsidRPr="00DB6E4E">
              <w:rPr>
                <w:rFonts w:ascii="Palatino Linotype" w:hAnsi="Palatino Linotype" w:cs="Times New Roman"/>
                <w:b/>
                <w:bCs/>
                <w:szCs w:val="24"/>
              </w:rPr>
              <w:t>Hausman test</w:t>
            </w:r>
          </w:p>
        </w:tc>
      </w:tr>
      <w:tr w:rsidR="005F1391" w:rsidRPr="00DB6E4E" w14:paraId="61D938BF" w14:textId="77777777" w:rsidTr="00DB6E4E">
        <w:trPr>
          <w:trHeight w:val="457"/>
          <w:jc w:val="center"/>
        </w:trPr>
        <w:tc>
          <w:tcPr>
            <w:tcW w:w="2547" w:type="dxa"/>
          </w:tcPr>
          <w:p w14:paraId="3A20573E" w14:textId="77777777" w:rsidR="005F1391" w:rsidRPr="00DB6E4E" w:rsidRDefault="005F1391"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b/>
                <w:bCs/>
                <w:szCs w:val="24"/>
              </w:rPr>
              <w:t>Effects Test</w:t>
            </w:r>
          </w:p>
        </w:tc>
        <w:tc>
          <w:tcPr>
            <w:tcW w:w="992" w:type="dxa"/>
          </w:tcPr>
          <w:p w14:paraId="05BFC85C" w14:textId="77777777" w:rsidR="005F1391" w:rsidRPr="00DB6E4E" w:rsidRDefault="005F1391"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b/>
                <w:bCs/>
                <w:szCs w:val="24"/>
              </w:rPr>
              <w:t>Prob.</w:t>
            </w:r>
          </w:p>
        </w:tc>
        <w:tc>
          <w:tcPr>
            <w:tcW w:w="1985" w:type="dxa"/>
          </w:tcPr>
          <w:p w14:paraId="297614F1" w14:textId="77777777" w:rsidR="005F1391" w:rsidRPr="00DB6E4E" w:rsidRDefault="005F1391"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b/>
                <w:bCs/>
                <w:szCs w:val="24"/>
              </w:rPr>
              <w:t>Hypothesis</w:t>
            </w:r>
          </w:p>
        </w:tc>
        <w:tc>
          <w:tcPr>
            <w:tcW w:w="2416" w:type="dxa"/>
          </w:tcPr>
          <w:p w14:paraId="320E18C6" w14:textId="77777777" w:rsidR="005F1391" w:rsidRPr="00DB6E4E" w:rsidRDefault="005F1391"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b/>
                <w:bCs/>
                <w:szCs w:val="24"/>
              </w:rPr>
              <w:t>Conclusion</w:t>
            </w:r>
          </w:p>
        </w:tc>
      </w:tr>
      <w:tr w:rsidR="005F1391" w:rsidRPr="00DB6E4E" w14:paraId="0AF94DA8" w14:textId="77777777" w:rsidTr="00B920DA">
        <w:trPr>
          <w:trHeight w:val="537"/>
          <w:jc w:val="center"/>
        </w:trPr>
        <w:tc>
          <w:tcPr>
            <w:tcW w:w="2547" w:type="dxa"/>
          </w:tcPr>
          <w:p w14:paraId="6562E8E7" w14:textId="77777777" w:rsidR="005F1391" w:rsidRPr="00DB6E4E" w:rsidRDefault="005F1391" w:rsidP="00DB6E4E">
            <w:pPr>
              <w:spacing w:after="120" w:line="240" w:lineRule="auto"/>
              <w:contextualSpacing/>
              <w:jc w:val="center"/>
              <w:rPr>
                <w:rFonts w:ascii="Palatino Linotype" w:hAnsi="Palatino Linotype" w:cs="Times New Roman"/>
                <w:szCs w:val="24"/>
              </w:rPr>
            </w:pPr>
            <w:bookmarkStart w:id="7" w:name="_Hlk215338613"/>
            <w:r w:rsidRPr="00DB6E4E">
              <w:rPr>
                <w:rFonts w:ascii="Palatino Linotype" w:hAnsi="Palatino Linotype" w:cs="Times New Roman"/>
                <w:szCs w:val="24"/>
              </w:rPr>
              <w:t>Cross-section random</w:t>
            </w:r>
          </w:p>
        </w:tc>
        <w:tc>
          <w:tcPr>
            <w:tcW w:w="992" w:type="dxa"/>
          </w:tcPr>
          <w:p w14:paraId="1E8DC6E1" w14:textId="77777777" w:rsidR="005F1391" w:rsidRPr="00DB6E4E" w:rsidRDefault="005F1391"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0.0000</w:t>
            </w:r>
          </w:p>
        </w:tc>
        <w:tc>
          <w:tcPr>
            <w:tcW w:w="1985" w:type="dxa"/>
          </w:tcPr>
          <w:p w14:paraId="40135ADD" w14:textId="020C8AC6" w:rsidR="005F1391" w:rsidRPr="00DB6E4E" w:rsidRDefault="00DB6E4E"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H0 is rejected</w:t>
            </w:r>
          </w:p>
        </w:tc>
        <w:tc>
          <w:tcPr>
            <w:tcW w:w="2416" w:type="dxa"/>
          </w:tcPr>
          <w:p w14:paraId="4191A1CF" w14:textId="77777777" w:rsidR="005F1391" w:rsidRPr="00DB6E4E" w:rsidRDefault="005F1391"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Fixed Effect Model</w:t>
            </w:r>
          </w:p>
        </w:tc>
      </w:tr>
    </w:tbl>
    <w:bookmarkEnd w:id="7"/>
    <w:p w14:paraId="07C5BA12" w14:textId="69AE4CF1" w:rsidR="00F13854" w:rsidRPr="00DB6E4E" w:rsidRDefault="00F13854" w:rsidP="00DB6E4E">
      <w:pPr>
        <w:spacing w:after="120" w:line="240" w:lineRule="auto"/>
        <w:contextualSpacing/>
        <w:jc w:val="center"/>
        <w:rPr>
          <w:rFonts w:ascii="Palatino Linotype" w:eastAsiaTheme="majorEastAsia" w:hAnsi="Palatino Linotype" w:cstheme="majorBidi"/>
          <w:b/>
          <w:bCs/>
          <w:szCs w:val="24"/>
        </w:rPr>
      </w:pPr>
      <w:r w:rsidRPr="00DB6E4E">
        <w:rPr>
          <w:rFonts w:ascii="Palatino Linotype" w:hAnsi="Palatino Linotype" w:cstheme="majorBidi"/>
          <w:b/>
          <w:bCs/>
          <w:szCs w:val="24"/>
        </w:rPr>
        <w:t xml:space="preserve">Source: </w:t>
      </w:r>
      <w:r w:rsidR="005F1391" w:rsidRPr="00DB6E4E">
        <w:rPr>
          <w:rFonts w:ascii="Palatino Linotype" w:eastAsiaTheme="majorEastAsia" w:hAnsi="Palatino Linotype" w:cstheme="majorBidi"/>
          <w:b/>
          <w:bCs/>
          <w:szCs w:val="24"/>
        </w:rPr>
        <w:t>eviews9</w:t>
      </w:r>
      <w:r w:rsidRPr="00DB6E4E">
        <w:rPr>
          <w:rFonts w:ascii="Palatino Linotype" w:eastAsiaTheme="majorEastAsia" w:hAnsi="Palatino Linotype" w:cstheme="majorBidi"/>
          <w:b/>
          <w:bCs/>
          <w:szCs w:val="24"/>
        </w:rPr>
        <w:t xml:space="preserve"> (2025)</w:t>
      </w:r>
    </w:p>
    <w:p w14:paraId="21E3372F" w14:textId="77777777" w:rsidR="005F1391" w:rsidRPr="00DB6E4E" w:rsidRDefault="005F1391" w:rsidP="00DB6E4E">
      <w:pPr>
        <w:spacing w:after="120" w:line="240" w:lineRule="auto"/>
        <w:ind w:firstLine="720"/>
        <w:contextualSpacing/>
        <w:rPr>
          <w:rFonts w:ascii="Palatino Linotype" w:hAnsi="Palatino Linotype" w:cs="Times New Roman"/>
          <w:szCs w:val="24"/>
          <w:lang w:val="en-ID"/>
        </w:rPr>
      </w:pPr>
      <w:r w:rsidRPr="00DB6E4E">
        <w:rPr>
          <w:rFonts w:ascii="Palatino Linotype" w:hAnsi="Palatino Linotype" w:cs="Times New Roman"/>
          <w:szCs w:val="24"/>
          <w:lang w:val="en-ID"/>
        </w:rPr>
        <w:lastRenderedPageBreak/>
        <w:t>The results show that the Prob. Cross-section random value of 0.0000 is below 0.05, leading to the rejection of the null hypothesis; therefore, the fixed effects model is selected for the analysis.</w:t>
      </w:r>
    </w:p>
    <w:p w14:paraId="163A6205" w14:textId="5D4EFE28" w:rsidR="00F13854" w:rsidRPr="00DB6E4E" w:rsidRDefault="00DB5F07" w:rsidP="00DB6E4E">
      <w:pPr>
        <w:spacing w:after="120" w:line="240" w:lineRule="auto"/>
        <w:contextualSpacing/>
        <w:rPr>
          <w:rFonts w:ascii="Palatino Linotype" w:eastAsia="Times New Roman" w:hAnsi="Palatino Linotype" w:cstheme="majorBidi"/>
          <w:b/>
          <w:bCs/>
          <w:szCs w:val="24"/>
        </w:rPr>
      </w:pPr>
      <w:r w:rsidRPr="00DB6E4E">
        <w:rPr>
          <w:rFonts w:ascii="Palatino Linotype" w:eastAsia="Times New Roman" w:hAnsi="Palatino Linotype" w:cstheme="majorBidi"/>
          <w:b/>
          <w:bCs/>
          <w:szCs w:val="24"/>
        </w:rPr>
        <w:t>F</w:t>
      </w:r>
      <w:r w:rsidR="00A62C04" w:rsidRPr="00DB6E4E">
        <w:rPr>
          <w:rFonts w:ascii="Palatino Linotype" w:eastAsia="Times New Roman" w:hAnsi="Palatino Linotype" w:cstheme="majorBidi"/>
          <w:b/>
          <w:bCs/>
          <w:szCs w:val="24"/>
        </w:rPr>
        <w:t>-</w:t>
      </w:r>
      <w:r w:rsidRPr="00DB6E4E">
        <w:rPr>
          <w:rFonts w:ascii="Palatino Linotype" w:eastAsia="Times New Roman" w:hAnsi="Palatino Linotype" w:cstheme="majorBidi"/>
          <w:b/>
          <w:bCs/>
          <w:szCs w:val="24"/>
        </w:rPr>
        <w:t>test</w:t>
      </w:r>
    </w:p>
    <w:p w14:paraId="58CF2006" w14:textId="125B2CF8" w:rsidR="00F13854" w:rsidRPr="00DB6E4E" w:rsidRDefault="00F13854" w:rsidP="00DB6E4E">
      <w:pPr>
        <w:spacing w:after="120" w:line="240" w:lineRule="auto"/>
        <w:ind w:firstLine="720"/>
        <w:contextualSpacing/>
        <w:rPr>
          <w:rFonts w:ascii="Palatino Linotype" w:hAnsi="Palatino Linotype" w:cstheme="majorBidi"/>
          <w:szCs w:val="24"/>
        </w:rPr>
      </w:pPr>
      <w:bookmarkStart w:id="8" w:name="_Hlk217937865"/>
      <w:r w:rsidRPr="00DB6E4E">
        <w:rPr>
          <w:rFonts w:ascii="Palatino Linotype" w:hAnsi="Palatino Linotype" w:cstheme="majorBidi"/>
          <w:szCs w:val="24"/>
        </w:rPr>
        <w:t xml:space="preserve">The results of the </w:t>
      </w:r>
      <w:r w:rsidR="00DB5F07" w:rsidRPr="00DB6E4E">
        <w:rPr>
          <w:rFonts w:ascii="Palatino Linotype" w:hAnsi="Palatino Linotype" w:cstheme="majorBidi"/>
          <w:szCs w:val="24"/>
        </w:rPr>
        <w:t>F</w:t>
      </w:r>
      <w:r w:rsidRPr="00DB6E4E">
        <w:rPr>
          <w:rFonts w:ascii="Palatino Linotype" w:hAnsi="Palatino Linotype" w:cstheme="majorBidi"/>
          <w:szCs w:val="24"/>
        </w:rPr>
        <w:t xml:space="preserve"> test using can be seen as follows:</w:t>
      </w:r>
    </w:p>
    <w:p w14:paraId="3EC3CDD1" w14:textId="6A00FD50" w:rsidR="00756762" w:rsidRPr="00DB6E4E" w:rsidRDefault="00DB5F07" w:rsidP="00DB6E4E">
      <w:pPr>
        <w:pStyle w:val="Tabel1"/>
        <w:numPr>
          <w:ilvl w:val="0"/>
          <w:numId w:val="0"/>
        </w:numPr>
        <w:spacing w:after="120" w:line="240" w:lineRule="auto"/>
        <w:contextualSpacing/>
        <w:rPr>
          <w:rFonts w:ascii="Palatino Linotype" w:hAnsi="Palatino Linotype"/>
          <w:color w:val="auto"/>
          <w:sz w:val="24"/>
          <w:szCs w:val="24"/>
        </w:rPr>
      </w:pPr>
      <w:bookmarkStart w:id="9" w:name="_Toc217672676"/>
      <w:bookmarkStart w:id="10" w:name="_Hlk217937980"/>
      <w:bookmarkEnd w:id="8"/>
      <w:r w:rsidRPr="00DB6E4E">
        <w:rPr>
          <w:rFonts w:ascii="Palatino Linotype" w:hAnsi="Palatino Linotype"/>
          <w:color w:val="auto"/>
          <w:sz w:val="24"/>
          <w:szCs w:val="24"/>
        </w:rPr>
        <w:t>Table.4</w:t>
      </w:r>
      <w:r w:rsidRPr="00DB6E4E">
        <w:rPr>
          <w:rFonts w:ascii="Palatino Linotype" w:hAnsi="Palatino Linotype"/>
          <w:color w:val="auto"/>
          <w:sz w:val="24"/>
          <w:szCs w:val="24"/>
        </w:rPr>
        <w:br/>
      </w:r>
      <w:bookmarkEnd w:id="9"/>
      <w:r w:rsidRPr="00DB6E4E">
        <w:rPr>
          <w:rFonts w:ascii="Palatino Linotype" w:hAnsi="Palatino Linotype"/>
          <w:color w:val="auto"/>
          <w:sz w:val="24"/>
          <w:szCs w:val="24"/>
        </w:rPr>
        <w:t>Result</w:t>
      </w:r>
      <w:r w:rsidR="00A62C04" w:rsidRPr="00DB6E4E">
        <w:rPr>
          <w:rFonts w:ascii="Palatino Linotype" w:hAnsi="Palatino Linotype"/>
          <w:color w:val="auto"/>
          <w:sz w:val="24"/>
          <w:szCs w:val="24"/>
        </w:rPr>
        <w:t xml:space="preserve"> of</w:t>
      </w:r>
      <w:r w:rsidR="00756762" w:rsidRPr="00DB6E4E">
        <w:rPr>
          <w:rFonts w:ascii="Palatino Linotype" w:hAnsi="Palatino Linotype"/>
          <w:color w:val="auto"/>
          <w:sz w:val="24"/>
          <w:szCs w:val="24"/>
        </w:rPr>
        <w:t xml:space="preserve"> F</w:t>
      </w:r>
      <w:r w:rsidR="00A62C04" w:rsidRPr="00DB6E4E">
        <w:rPr>
          <w:rFonts w:ascii="Palatino Linotype" w:hAnsi="Palatino Linotype"/>
          <w:color w:val="auto"/>
          <w:sz w:val="24"/>
          <w:szCs w:val="24"/>
        </w:rPr>
        <w:t>-</w:t>
      </w:r>
      <w:r w:rsidR="00756762" w:rsidRPr="00DB6E4E">
        <w:rPr>
          <w:rFonts w:ascii="Palatino Linotype" w:hAnsi="Palatino Linotype"/>
          <w:color w:val="auto"/>
          <w:sz w:val="24"/>
          <w:szCs w:val="24"/>
        </w:rPr>
        <w:t>Test</w:t>
      </w:r>
    </w:p>
    <w:p w14:paraId="389EFCB7" w14:textId="1FCDD929" w:rsidR="00DB5F07" w:rsidRPr="00DB6E4E" w:rsidRDefault="00DB6E4E"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drawing>
          <wp:inline distT="0" distB="0" distL="0" distR="0" wp14:anchorId="3710C6C6" wp14:editId="6C1AD33C">
            <wp:extent cx="5431790" cy="499110"/>
            <wp:effectExtent l="0" t="0" r="0" b="0"/>
            <wp:docPr id="6099273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27386" name=""/>
                    <pic:cNvPicPr/>
                  </pic:nvPicPr>
                  <pic:blipFill>
                    <a:blip r:embed="rId10"/>
                    <a:stretch>
                      <a:fillRect/>
                    </a:stretch>
                  </pic:blipFill>
                  <pic:spPr>
                    <a:xfrm>
                      <a:off x="0" y="0"/>
                      <a:ext cx="5431790" cy="499110"/>
                    </a:xfrm>
                    <a:prstGeom prst="rect">
                      <a:avLst/>
                    </a:prstGeom>
                  </pic:spPr>
                </pic:pic>
              </a:graphicData>
            </a:graphic>
          </wp:inline>
        </w:drawing>
      </w:r>
    </w:p>
    <w:bookmarkEnd w:id="10"/>
    <w:p w14:paraId="3FA9A854" w14:textId="272177F5" w:rsidR="00F13854" w:rsidRPr="00DB6E4E" w:rsidRDefault="00F13854" w:rsidP="00DB6E4E">
      <w:pPr>
        <w:spacing w:after="120" w:line="240" w:lineRule="auto"/>
        <w:contextualSpacing/>
        <w:jc w:val="center"/>
        <w:rPr>
          <w:rFonts w:ascii="Palatino Linotype" w:eastAsiaTheme="majorEastAsia" w:hAnsi="Palatino Linotype" w:cstheme="majorBidi"/>
          <w:b/>
          <w:bCs/>
          <w:szCs w:val="24"/>
        </w:rPr>
      </w:pPr>
      <w:r w:rsidRPr="00DB6E4E">
        <w:rPr>
          <w:rFonts w:ascii="Palatino Linotype" w:hAnsi="Palatino Linotype" w:cstheme="majorBidi"/>
          <w:b/>
          <w:bCs/>
          <w:szCs w:val="24"/>
        </w:rPr>
        <w:t xml:space="preserve">Source: </w:t>
      </w:r>
      <w:r w:rsidR="00756762" w:rsidRPr="00DB6E4E">
        <w:rPr>
          <w:rFonts w:ascii="Palatino Linotype" w:eastAsiaTheme="majorEastAsia" w:hAnsi="Palatino Linotype" w:cstheme="majorBidi"/>
          <w:b/>
          <w:bCs/>
          <w:szCs w:val="24"/>
        </w:rPr>
        <w:t>eviews9</w:t>
      </w:r>
      <w:r w:rsidRPr="00DB6E4E">
        <w:rPr>
          <w:rFonts w:ascii="Palatino Linotype" w:eastAsiaTheme="majorEastAsia" w:hAnsi="Palatino Linotype" w:cstheme="majorBidi"/>
          <w:b/>
          <w:bCs/>
          <w:szCs w:val="24"/>
        </w:rPr>
        <w:t xml:space="preserve"> (2025)</w:t>
      </w:r>
    </w:p>
    <w:p w14:paraId="0D541ECB" w14:textId="1DFBAFE6" w:rsidR="00756762" w:rsidRPr="00DB6E4E" w:rsidRDefault="00756762" w:rsidP="00DB6E4E">
      <w:pPr>
        <w:spacing w:after="120" w:line="240" w:lineRule="auto"/>
        <w:ind w:firstLine="720"/>
        <w:contextualSpacing/>
        <w:rPr>
          <w:rFonts w:ascii="Palatino Linotype" w:hAnsi="Palatino Linotype" w:cs="Times New Roman"/>
          <w:szCs w:val="24"/>
          <w:shd w:val="clear" w:color="auto" w:fill="FFFFFF"/>
        </w:rPr>
      </w:pPr>
      <w:r w:rsidRPr="00DB6E4E">
        <w:rPr>
          <w:rFonts w:ascii="Palatino Linotype" w:hAnsi="Palatino Linotype" w:cs="Times New Roman"/>
          <w:szCs w:val="24"/>
          <w:shd w:val="clear" w:color="auto" w:fill="FFFFFF"/>
        </w:rPr>
        <w:t>The test results show that the Prob. (F-statistic) value of 0.0416 is below 0.05, leading to the rejection of the null hypothesis and indicating that at least one independent variable significantly affects the dependent variable.</w:t>
      </w:r>
    </w:p>
    <w:p w14:paraId="4D9FBEF7" w14:textId="6EC45EC1" w:rsidR="00F13854" w:rsidRPr="00DB6E4E" w:rsidRDefault="00756762" w:rsidP="00DB6E4E">
      <w:pPr>
        <w:spacing w:after="120" w:line="240" w:lineRule="auto"/>
        <w:contextualSpacing/>
        <w:rPr>
          <w:rFonts w:ascii="Palatino Linotype" w:hAnsi="Palatino Linotype" w:cstheme="majorBidi"/>
          <w:b/>
          <w:bCs/>
          <w:szCs w:val="24"/>
        </w:rPr>
      </w:pPr>
      <w:r w:rsidRPr="00DB6E4E">
        <w:rPr>
          <w:rFonts w:ascii="Palatino Linotype" w:hAnsi="Palatino Linotype" w:cstheme="majorBidi"/>
          <w:b/>
          <w:bCs/>
          <w:szCs w:val="24"/>
        </w:rPr>
        <w:t>Goodne</w:t>
      </w:r>
      <w:r w:rsidR="004C4EE8" w:rsidRPr="00DB6E4E">
        <w:rPr>
          <w:rFonts w:ascii="Palatino Linotype" w:hAnsi="Palatino Linotype" w:cstheme="majorBidi"/>
          <w:b/>
          <w:bCs/>
          <w:szCs w:val="24"/>
        </w:rPr>
        <w:t>ss</w:t>
      </w:r>
      <w:r w:rsidR="00A62C04" w:rsidRPr="00DB6E4E">
        <w:rPr>
          <w:rFonts w:ascii="Palatino Linotype" w:hAnsi="Palatino Linotype" w:cstheme="majorBidi"/>
          <w:b/>
          <w:bCs/>
          <w:szCs w:val="24"/>
        </w:rPr>
        <w:t>-</w:t>
      </w:r>
      <w:r w:rsidR="004C4EE8" w:rsidRPr="00DB6E4E">
        <w:rPr>
          <w:rFonts w:ascii="Palatino Linotype" w:hAnsi="Palatino Linotype" w:cstheme="majorBidi"/>
          <w:b/>
          <w:bCs/>
          <w:szCs w:val="24"/>
        </w:rPr>
        <w:t>of</w:t>
      </w:r>
      <w:r w:rsidR="00A62C04" w:rsidRPr="00DB6E4E">
        <w:rPr>
          <w:rFonts w:ascii="Palatino Linotype" w:hAnsi="Palatino Linotype" w:cstheme="majorBidi"/>
          <w:b/>
          <w:bCs/>
          <w:szCs w:val="24"/>
        </w:rPr>
        <w:t>-</w:t>
      </w:r>
      <w:r w:rsidR="004C4EE8" w:rsidRPr="00DB6E4E">
        <w:rPr>
          <w:rFonts w:ascii="Palatino Linotype" w:hAnsi="Palatino Linotype" w:cstheme="majorBidi"/>
          <w:b/>
          <w:bCs/>
          <w:szCs w:val="24"/>
        </w:rPr>
        <w:t>Fit test (Adjust R</w:t>
      </w:r>
      <w:r w:rsidR="004C4EE8" w:rsidRPr="00DB6E4E">
        <w:rPr>
          <w:rFonts w:ascii="Palatino Linotype" w:hAnsi="Palatino Linotype" w:cstheme="majorBidi"/>
          <w:b/>
          <w:bCs/>
          <w:szCs w:val="24"/>
          <w:vertAlign w:val="superscript"/>
        </w:rPr>
        <w:t>2</w:t>
      </w:r>
      <w:r w:rsidR="004C4EE8" w:rsidRPr="00DB6E4E">
        <w:rPr>
          <w:rFonts w:ascii="Palatino Linotype" w:hAnsi="Palatino Linotype" w:cstheme="majorBidi"/>
          <w:b/>
          <w:bCs/>
          <w:szCs w:val="24"/>
        </w:rPr>
        <w:t>)</w:t>
      </w:r>
    </w:p>
    <w:p w14:paraId="046DE8BE" w14:textId="7D4FD4EB" w:rsidR="00F13854" w:rsidRPr="00DB6E4E" w:rsidRDefault="00F13854"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 xml:space="preserve">The results of the </w:t>
      </w:r>
      <w:r w:rsidR="004C4EE8" w:rsidRPr="00DB6E4E">
        <w:rPr>
          <w:rFonts w:ascii="Palatino Linotype" w:hAnsi="Palatino Linotype" w:cstheme="majorBidi"/>
          <w:szCs w:val="24"/>
        </w:rPr>
        <w:t>Goodness of Fit</w:t>
      </w:r>
      <w:r w:rsidRPr="00DB6E4E">
        <w:rPr>
          <w:rFonts w:ascii="Palatino Linotype" w:hAnsi="Palatino Linotype" w:cstheme="majorBidi"/>
          <w:szCs w:val="24"/>
        </w:rPr>
        <w:t xml:space="preserve"> test in this study can be seen in the following table:</w:t>
      </w:r>
      <w:bookmarkStart w:id="11" w:name="_Toc194164555"/>
    </w:p>
    <w:p w14:paraId="2A6099C3" w14:textId="268F0F47" w:rsidR="004C4EE8" w:rsidRPr="00DB6E4E" w:rsidRDefault="004C4EE8" w:rsidP="00DB6E4E">
      <w:pPr>
        <w:pStyle w:val="Tabel1"/>
        <w:numPr>
          <w:ilvl w:val="0"/>
          <w:numId w:val="0"/>
        </w:numPr>
        <w:spacing w:after="120" w:line="240" w:lineRule="auto"/>
        <w:contextualSpacing/>
        <w:rPr>
          <w:rFonts w:ascii="Palatino Linotype" w:hAnsi="Palatino Linotype"/>
          <w:color w:val="auto"/>
          <w:sz w:val="24"/>
          <w:szCs w:val="24"/>
        </w:rPr>
      </w:pPr>
      <w:bookmarkStart w:id="12" w:name="_Toc217672678"/>
      <w:bookmarkEnd w:id="11"/>
      <w:r w:rsidRPr="00DB6E4E">
        <w:rPr>
          <w:rFonts w:ascii="Palatino Linotype" w:hAnsi="Palatino Linotype"/>
          <w:color w:val="auto"/>
          <w:sz w:val="24"/>
          <w:szCs w:val="24"/>
        </w:rPr>
        <w:t>Table.5</w:t>
      </w:r>
      <w:r w:rsidRPr="00DB6E4E">
        <w:rPr>
          <w:rFonts w:ascii="Palatino Linotype" w:hAnsi="Palatino Linotype"/>
          <w:color w:val="auto"/>
          <w:sz w:val="24"/>
          <w:szCs w:val="24"/>
        </w:rPr>
        <w:br/>
        <w:t xml:space="preserve">Result </w:t>
      </w:r>
      <w:r w:rsidR="00A62C04" w:rsidRPr="00DB6E4E">
        <w:rPr>
          <w:rFonts w:ascii="Palatino Linotype" w:hAnsi="Palatino Linotype"/>
          <w:color w:val="auto"/>
          <w:sz w:val="24"/>
          <w:szCs w:val="24"/>
        </w:rPr>
        <w:t xml:space="preserve">of </w:t>
      </w:r>
      <w:r w:rsidRPr="00DB6E4E">
        <w:rPr>
          <w:rFonts w:ascii="Palatino Linotype" w:hAnsi="Palatino Linotype"/>
          <w:color w:val="auto"/>
          <w:sz w:val="24"/>
          <w:szCs w:val="24"/>
        </w:rPr>
        <w:t xml:space="preserve">Goodness </w:t>
      </w:r>
      <w:r w:rsidR="00DB6E4E">
        <w:rPr>
          <w:rFonts w:ascii="Palatino Linotype" w:hAnsi="Palatino Linotype"/>
          <w:color w:val="auto"/>
          <w:sz w:val="24"/>
          <w:szCs w:val="24"/>
        </w:rPr>
        <w:t>o</w:t>
      </w:r>
      <w:r w:rsidRPr="00DB6E4E">
        <w:rPr>
          <w:rFonts w:ascii="Palatino Linotype" w:hAnsi="Palatino Linotype"/>
          <w:color w:val="auto"/>
          <w:sz w:val="24"/>
          <w:szCs w:val="24"/>
        </w:rPr>
        <w:t>f Fit</w:t>
      </w:r>
      <w:bookmarkEnd w:id="12"/>
      <w:r w:rsidRPr="00DB6E4E">
        <w:rPr>
          <w:rFonts w:ascii="Palatino Linotype" w:hAnsi="Palatino Linotype"/>
          <w:color w:val="auto"/>
          <w:sz w:val="24"/>
          <w:szCs w:val="24"/>
        </w:rPr>
        <w:t xml:space="preserve"> Test</w:t>
      </w:r>
    </w:p>
    <w:tbl>
      <w:tblPr>
        <w:tblW w:w="24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746"/>
      </w:tblGrid>
      <w:tr w:rsidR="004C4EE8" w:rsidRPr="00DB6E4E" w14:paraId="3DA4CEAD" w14:textId="77777777" w:rsidTr="00DB6E4E">
        <w:trPr>
          <w:trHeight w:val="294"/>
          <w:jc w:val="center"/>
        </w:trPr>
        <w:tc>
          <w:tcPr>
            <w:tcW w:w="2905" w:type="pct"/>
          </w:tcPr>
          <w:p w14:paraId="56F78549" w14:textId="77777777" w:rsidR="004C4EE8" w:rsidRPr="00DB6E4E" w:rsidRDefault="004C4EE8" w:rsidP="00DB6E4E">
            <w:pPr>
              <w:tabs>
                <w:tab w:val="left" w:pos="851"/>
              </w:tabs>
              <w:spacing w:after="120" w:line="240" w:lineRule="auto"/>
              <w:contextualSpacing/>
              <w:jc w:val="center"/>
              <w:rPr>
                <w:rFonts w:ascii="Palatino Linotype" w:eastAsia="Aptos" w:hAnsi="Palatino Linotype" w:cs="Times New Roman"/>
                <w:b/>
                <w:bCs/>
                <w:szCs w:val="24"/>
              </w:rPr>
            </w:pPr>
            <w:r w:rsidRPr="00DB6E4E">
              <w:rPr>
                <w:rFonts w:ascii="Palatino Linotype" w:eastAsia="Aptos" w:hAnsi="Palatino Linotype" w:cs="Times New Roman"/>
                <w:b/>
                <w:bCs/>
                <w:szCs w:val="24"/>
              </w:rPr>
              <w:t>Testing</w:t>
            </w:r>
          </w:p>
        </w:tc>
        <w:tc>
          <w:tcPr>
            <w:tcW w:w="2095" w:type="pct"/>
          </w:tcPr>
          <w:p w14:paraId="70C12B3E" w14:textId="77777777" w:rsidR="004C4EE8" w:rsidRPr="00DB6E4E" w:rsidRDefault="004C4EE8" w:rsidP="00DB6E4E">
            <w:pPr>
              <w:tabs>
                <w:tab w:val="left" w:pos="851"/>
              </w:tabs>
              <w:spacing w:after="120" w:line="240" w:lineRule="auto"/>
              <w:contextualSpacing/>
              <w:jc w:val="center"/>
              <w:rPr>
                <w:rFonts w:ascii="Palatino Linotype" w:eastAsia="Aptos" w:hAnsi="Palatino Linotype" w:cs="Times New Roman"/>
                <w:b/>
                <w:bCs/>
                <w:szCs w:val="24"/>
              </w:rPr>
            </w:pPr>
            <w:r w:rsidRPr="00DB6E4E">
              <w:rPr>
                <w:rFonts w:ascii="Palatino Linotype" w:eastAsia="Aptos" w:hAnsi="Palatino Linotype" w:cs="Times New Roman"/>
                <w:b/>
                <w:bCs/>
                <w:szCs w:val="24"/>
              </w:rPr>
              <w:t xml:space="preserve">Value  </w:t>
            </w:r>
          </w:p>
        </w:tc>
      </w:tr>
      <w:tr w:rsidR="004C4EE8" w:rsidRPr="00DB6E4E" w14:paraId="733CD6F6" w14:textId="77777777" w:rsidTr="00DB6E4E">
        <w:trPr>
          <w:jc w:val="center"/>
        </w:trPr>
        <w:tc>
          <w:tcPr>
            <w:tcW w:w="2905" w:type="pct"/>
          </w:tcPr>
          <w:p w14:paraId="7699A513" w14:textId="77777777" w:rsidR="004C4EE8" w:rsidRPr="00DB6E4E" w:rsidRDefault="004C4EE8" w:rsidP="00DB6E4E">
            <w:pPr>
              <w:spacing w:after="120" w:line="240" w:lineRule="auto"/>
              <w:contextualSpacing/>
              <w:jc w:val="center"/>
              <w:rPr>
                <w:rFonts w:ascii="Palatino Linotype" w:hAnsi="Palatino Linotype" w:cs="Times New Roman"/>
                <w:szCs w:val="24"/>
              </w:rPr>
            </w:pPr>
            <w:r w:rsidRPr="00DB6E4E">
              <w:rPr>
                <w:rFonts w:ascii="Palatino Linotype" w:hAnsi="Palatino Linotype" w:cs="Times New Roman"/>
                <w:szCs w:val="24"/>
              </w:rPr>
              <w:t>Adjusted R-Squared</w:t>
            </w:r>
          </w:p>
        </w:tc>
        <w:tc>
          <w:tcPr>
            <w:tcW w:w="2095" w:type="pct"/>
            <w:vAlign w:val="center"/>
          </w:tcPr>
          <w:p w14:paraId="7F5ECF1F" w14:textId="77777777" w:rsidR="004C4EE8" w:rsidRPr="00DB6E4E" w:rsidRDefault="004C4EE8" w:rsidP="00DB6E4E">
            <w:pPr>
              <w:tabs>
                <w:tab w:val="left" w:pos="851"/>
              </w:tabs>
              <w:spacing w:after="120" w:line="240" w:lineRule="auto"/>
              <w:contextualSpacing/>
              <w:jc w:val="center"/>
              <w:rPr>
                <w:rFonts w:ascii="Palatino Linotype" w:eastAsia="Aptos" w:hAnsi="Palatino Linotype" w:cs="Times New Roman"/>
                <w:szCs w:val="24"/>
              </w:rPr>
            </w:pPr>
            <w:r w:rsidRPr="00DB6E4E">
              <w:rPr>
                <w:rFonts w:ascii="Palatino Linotype" w:eastAsia="Aptos" w:hAnsi="Palatino Linotype" w:cs="Times New Roman"/>
                <w:szCs w:val="24"/>
              </w:rPr>
              <w:t>0.124452</w:t>
            </w:r>
          </w:p>
        </w:tc>
      </w:tr>
    </w:tbl>
    <w:p w14:paraId="3AAA4172" w14:textId="335BCB4A" w:rsidR="00F13854" w:rsidRPr="00DB6E4E" w:rsidRDefault="00F13854" w:rsidP="00DB6E4E">
      <w:pPr>
        <w:spacing w:after="120" w:line="240" w:lineRule="auto"/>
        <w:contextualSpacing/>
        <w:jc w:val="center"/>
        <w:rPr>
          <w:rFonts w:ascii="Palatino Linotype" w:eastAsiaTheme="majorEastAsia" w:hAnsi="Palatino Linotype" w:cstheme="majorBidi"/>
          <w:b/>
          <w:bCs/>
          <w:szCs w:val="24"/>
        </w:rPr>
      </w:pPr>
      <w:r w:rsidRPr="00DB6E4E">
        <w:rPr>
          <w:rFonts w:ascii="Palatino Linotype" w:hAnsi="Palatino Linotype" w:cstheme="majorBidi"/>
          <w:b/>
          <w:bCs/>
          <w:szCs w:val="24"/>
        </w:rPr>
        <w:t xml:space="preserve">Source: </w:t>
      </w:r>
      <w:r w:rsidR="009F44C0" w:rsidRPr="00DB6E4E">
        <w:rPr>
          <w:rFonts w:ascii="Palatino Linotype" w:eastAsiaTheme="majorEastAsia" w:hAnsi="Palatino Linotype" w:cstheme="majorBidi"/>
          <w:b/>
          <w:bCs/>
          <w:szCs w:val="24"/>
        </w:rPr>
        <w:t>eviews9</w:t>
      </w:r>
      <w:r w:rsidRPr="00DB6E4E">
        <w:rPr>
          <w:rFonts w:ascii="Palatino Linotype" w:eastAsiaTheme="majorEastAsia" w:hAnsi="Palatino Linotype" w:cstheme="majorBidi"/>
          <w:b/>
          <w:bCs/>
          <w:szCs w:val="24"/>
        </w:rPr>
        <w:t xml:space="preserve"> (2025)</w:t>
      </w:r>
    </w:p>
    <w:p w14:paraId="4142E5E1" w14:textId="77777777" w:rsidR="009F44C0" w:rsidRPr="00DB6E4E" w:rsidRDefault="009F44C0"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The adjusted R² value for Share Price Growth is 0.1245, indicating that CAR, NNPA, CASA, NIM, and LATA jointly explain 12.45% of the variation in stock price growth, while the remaining 87.55% is attributable to other factors not included in the model. These results suggest that the model exhibits an acceptable level of goodness of fit.</w:t>
      </w:r>
    </w:p>
    <w:p w14:paraId="26797287" w14:textId="1760B89C" w:rsidR="00F13854" w:rsidRPr="00DB6E4E" w:rsidRDefault="009F44C0" w:rsidP="00DB6E4E">
      <w:pPr>
        <w:spacing w:after="120" w:line="240" w:lineRule="auto"/>
        <w:contextualSpacing/>
        <w:rPr>
          <w:rFonts w:ascii="Palatino Linotype" w:hAnsi="Palatino Linotype" w:cstheme="majorBidi"/>
          <w:b/>
          <w:bCs/>
          <w:szCs w:val="24"/>
        </w:rPr>
      </w:pPr>
      <w:r w:rsidRPr="00DB6E4E">
        <w:rPr>
          <w:rFonts w:ascii="Palatino Linotype" w:hAnsi="Palatino Linotype" w:cstheme="majorBidi"/>
          <w:b/>
          <w:bCs/>
          <w:szCs w:val="24"/>
        </w:rPr>
        <w:t>Panel Data</w:t>
      </w:r>
      <w:r w:rsidR="00F13854" w:rsidRPr="00DB6E4E">
        <w:rPr>
          <w:rFonts w:ascii="Palatino Linotype" w:hAnsi="Palatino Linotype" w:cstheme="majorBidi"/>
          <w:b/>
          <w:bCs/>
          <w:szCs w:val="24"/>
        </w:rPr>
        <w:t xml:space="preserve"> Regression</w:t>
      </w:r>
      <w:r w:rsidRPr="00DB6E4E">
        <w:rPr>
          <w:rFonts w:ascii="Palatino Linotype" w:hAnsi="Palatino Linotype" w:cstheme="majorBidi"/>
          <w:b/>
          <w:bCs/>
          <w:szCs w:val="24"/>
        </w:rPr>
        <w:t xml:space="preserve"> Analysis</w:t>
      </w:r>
    </w:p>
    <w:p w14:paraId="7A91FAC9" w14:textId="2824ACE0" w:rsidR="009F44C0" w:rsidRPr="00DB6E4E" w:rsidRDefault="009F44C0" w:rsidP="00DB6E4E">
      <w:pPr>
        <w:spacing w:after="120" w:line="240" w:lineRule="auto"/>
        <w:ind w:firstLine="709"/>
        <w:contextualSpacing/>
        <w:rPr>
          <w:rFonts w:ascii="Palatino Linotype" w:hAnsi="Palatino Linotype" w:cstheme="majorBidi"/>
          <w:szCs w:val="24"/>
        </w:rPr>
      </w:pPr>
      <w:r w:rsidRPr="00DB6E4E">
        <w:rPr>
          <w:rFonts w:ascii="Palatino Linotype" w:hAnsi="Palatino Linotype" w:cstheme="majorBidi"/>
          <w:szCs w:val="24"/>
        </w:rPr>
        <w:t xml:space="preserve">Data analysis in this study employs panel data regression. Panel data analysis consists of three alternative models: the common effects model, </w:t>
      </w:r>
      <w:r w:rsidR="00DB6E4E">
        <w:rPr>
          <w:rFonts w:ascii="Palatino Linotype" w:hAnsi="Palatino Linotype" w:cstheme="majorBidi"/>
          <w:szCs w:val="24"/>
        </w:rPr>
        <w:t xml:space="preserve">the </w:t>
      </w:r>
      <w:r w:rsidRPr="00DB6E4E">
        <w:rPr>
          <w:rFonts w:ascii="Palatino Linotype" w:hAnsi="Palatino Linotype" w:cstheme="majorBidi"/>
          <w:szCs w:val="24"/>
        </w:rPr>
        <w:t xml:space="preserve">fixed effects model, and </w:t>
      </w:r>
      <w:r w:rsidR="00DB6E4E">
        <w:rPr>
          <w:rFonts w:ascii="Palatino Linotype" w:hAnsi="Palatino Linotype" w:cstheme="majorBidi"/>
          <w:szCs w:val="24"/>
        </w:rPr>
        <w:t xml:space="preserve">the </w:t>
      </w:r>
      <w:r w:rsidRPr="00DB6E4E">
        <w:rPr>
          <w:rFonts w:ascii="Palatino Linotype" w:hAnsi="Palatino Linotype" w:cstheme="majorBidi"/>
          <w:szCs w:val="24"/>
        </w:rPr>
        <w:t>random effects model. Based on model selection tests, the fixed effects model is applied in this study. The regression analysis aims to examine the effect of CAR, NNPA, CASA, NIM, and LATA on Share Price Growth (SPG). The statistical results yield the following regression equation:</w:t>
      </w:r>
    </w:p>
    <w:p w14:paraId="244B4039" w14:textId="77777777" w:rsidR="009F44C0" w:rsidRPr="00DB6E4E" w:rsidRDefault="009F44C0" w:rsidP="00DB6E4E">
      <w:pPr>
        <w:spacing w:after="120" w:line="240" w:lineRule="auto"/>
        <w:ind w:firstLine="720"/>
        <w:contextualSpacing/>
        <w:rPr>
          <w:rFonts w:ascii="Palatino Linotype" w:hAnsi="Palatino Linotype" w:cs="Times New Roman"/>
          <w:szCs w:val="24"/>
          <w:shd w:val="clear" w:color="auto" w:fill="FFFFFF"/>
        </w:rPr>
      </w:pPr>
      <w:r w:rsidRPr="00DB6E4E">
        <w:rPr>
          <w:rFonts w:ascii="Palatino Linotype" w:hAnsi="Palatino Linotype" w:cs="Times New Roman"/>
          <w:szCs w:val="24"/>
          <w:shd w:val="clear" w:color="auto" w:fill="FFFFFF"/>
        </w:rPr>
        <w:t>spg</w:t>
      </w:r>
      <w:r w:rsidRPr="00DB6E4E">
        <w:rPr>
          <w:rFonts w:ascii="Palatino Linotype" w:hAnsi="Palatino Linotype" w:cs="Times New Roman"/>
          <w:szCs w:val="24"/>
          <w:shd w:val="clear" w:color="auto" w:fill="FFFFFF"/>
          <w:vertAlign w:val="subscript"/>
        </w:rPr>
        <w:t>it</w:t>
      </w:r>
      <w:r w:rsidRPr="00DB6E4E">
        <w:rPr>
          <w:rFonts w:ascii="Palatino Linotype" w:hAnsi="Palatino Linotype" w:cs="Times New Roman"/>
          <w:szCs w:val="24"/>
          <w:shd w:val="clear" w:color="auto" w:fill="FFFFFF"/>
        </w:rPr>
        <w:t xml:space="preserve"> = -1560.19 - 0.1877 (car)</w:t>
      </w:r>
      <w:r w:rsidRPr="00DB6E4E">
        <w:rPr>
          <w:rFonts w:ascii="Palatino Linotype" w:hAnsi="Palatino Linotype" w:cs="Times New Roman"/>
          <w:szCs w:val="24"/>
          <w:shd w:val="clear" w:color="auto" w:fill="FFFFFF"/>
          <w:vertAlign w:val="subscript"/>
        </w:rPr>
        <w:t>it</w:t>
      </w:r>
      <w:r w:rsidRPr="00DB6E4E">
        <w:rPr>
          <w:rFonts w:ascii="Palatino Linotype" w:hAnsi="Palatino Linotype" w:cs="Times New Roman"/>
          <w:szCs w:val="24"/>
          <w:shd w:val="clear" w:color="auto" w:fill="FFFFFF"/>
        </w:rPr>
        <w:t xml:space="preserve"> - 13.0942 (nnpa)</w:t>
      </w:r>
      <w:r w:rsidRPr="00DB6E4E">
        <w:rPr>
          <w:rFonts w:ascii="Palatino Linotype" w:hAnsi="Palatino Linotype" w:cs="Times New Roman"/>
          <w:szCs w:val="24"/>
          <w:shd w:val="clear" w:color="auto" w:fill="FFFFFF"/>
          <w:vertAlign w:val="subscript"/>
        </w:rPr>
        <w:t>it</w:t>
      </w:r>
      <w:r w:rsidRPr="00DB6E4E">
        <w:rPr>
          <w:rFonts w:ascii="Palatino Linotype" w:hAnsi="Palatino Linotype" w:cs="Times New Roman"/>
          <w:szCs w:val="24"/>
          <w:shd w:val="clear" w:color="auto" w:fill="FFFFFF"/>
        </w:rPr>
        <w:t xml:space="preserve"> + 3.1597 (casa)</w:t>
      </w:r>
      <w:r w:rsidRPr="00DB6E4E">
        <w:rPr>
          <w:rFonts w:ascii="Palatino Linotype" w:hAnsi="Palatino Linotype" w:cs="Times New Roman"/>
          <w:szCs w:val="24"/>
          <w:shd w:val="clear" w:color="auto" w:fill="FFFFFF"/>
          <w:vertAlign w:val="subscript"/>
        </w:rPr>
        <w:t>it</w:t>
      </w:r>
      <w:r w:rsidRPr="00DB6E4E">
        <w:rPr>
          <w:rFonts w:ascii="Palatino Linotype" w:hAnsi="Palatino Linotype" w:cs="Times New Roman"/>
          <w:szCs w:val="24"/>
          <w:shd w:val="clear" w:color="auto" w:fill="FFFFFF"/>
        </w:rPr>
        <w:t xml:space="preserve"> - 34.2608 (nim)</w:t>
      </w:r>
      <w:r w:rsidRPr="00DB6E4E">
        <w:rPr>
          <w:rFonts w:ascii="Palatino Linotype" w:hAnsi="Palatino Linotype" w:cs="Times New Roman"/>
          <w:szCs w:val="24"/>
          <w:shd w:val="clear" w:color="auto" w:fill="FFFFFF"/>
          <w:vertAlign w:val="subscript"/>
        </w:rPr>
        <w:t>it</w:t>
      </w:r>
      <w:r w:rsidRPr="00DB6E4E">
        <w:rPr>
          <w:rFonts w:ascii="Palatino Linotype" w:hAnsi="Palatino Linotype" w:cs="Times New Roman"/>
          <w:szCs w:val="24"/>
          <w:shd w:val="clear" w:color="auto" w:fill="FFFFFF"/>
        </w:rPr>
        <w:t xml:space="preserve"> + 5.3192 (lata)</w:t>
      </w:r>
      <w:r w:rsidRPr="00DB6E4E">
        <w:rPr>
          <w:rFonts w:ascii="Palatino Linotype" w:hAnsi="Palatino Linotype" w:cs="Times New Roman"/>
          <w:szCs w:val="24"/>
          <w:shd w:val="clear" w:color="auto" w:fill="FFFFFF"/>
          <w:vertAlign w:val="subscript"/>
        </w:rPr>
        <w:t>it</w:t>
      </w:r>
      <w:r w:rsidRPr="00DB6E4E">
        <w:rPr>
          <w:rFonts w:ascii="Palatino Linotype" w:hAnsi="Palatino Linotype" w:cs="Times New Roman"/>
          <w:szCs w:val="24"/>
          <w:shd w:val="clear" w:color="auto" w:fill="FFFFFF"/>
        </w:rPr>
        <w:t xml:space="preserve"> + 82.53 (size)</w:t>
      </w:r>
      <w:r w:rsidRPr="00DB6E4E">
        <w:rPr>
          <w:rFonts w:ascii="Palatino Linotype" w:hAnsi="Palatino Linotype" w:cs="Times New Roman"/>
          <w:szCs w:val="24"/>
          <w:shd w:val="clear" w:color="auto" w:fill="FFFFFF"/>
          <w:vertAlign w:val="subscript"/>
        </w:rPr>
        <w:t>it</w:t>
      </w:r>
      <w:r w:rsidRPr="00DB6E4E">
        <w:rPr>
          <w:rFonts w:ascii="Palatino Linotype" w:hAnsi="Palatino Linotype" w:cs="Times New Roman"/>
          <w:szCs w:val="24"/>
          <w:shd w:val="clear" w:color="auto" w:fill="FFFFFF"/>
        </w:rPr>
        <w:t xml:space="preserve"> + </w:t>
      </w:r>
      <w:r w:rsidRPr="00DB6E4E">
        <w:rPr>
          <w:rFonts w:ascii="Cambria" w:hAnsi="Cambria" w:cs="Cambria"/>
          <w:szCs w:val="24"/>
          <w:shd w:val="clear" w:color="auto" w:fill="FFFFFF"/>
        </w:rPr>
        <w:t>Ɛ</w:t>
      </w:r>
      <w:r w:rsidRPr="00DB6E4E">
        <w:rPr>
          <w:rFonts w:ascii="Palatino Linotype" w:hAnsi="Palatino Linotype" w:cs="Times New Roman"/>
          <w:szCs w:val="24"/>
          <w:shd w:val="clear" w:color="auto" w:fill="FFFFFF"/>
          <w:vertAlign w:val="subscript"/>
        </w:rPr>
        <w:t>it</w:t>
      </w:r>
    </w:p>
    <w:p w14:paraId="1A5D8832" w14:textId="77777777" w:rsidR="00A62C04" w:rsidRPr="00DB6E4E" w:rsidRDefault="00A62C04" w:rsidP="00DB6E4E">
      <w:pPr>
        <w:spacing w:after="120" w:line="240" w:lineRule="auto"/>
        <w:contextualSpacing/>
        <w:rPr>
          <w:rFonts w:ascii="Palatino Linotype" w:hAnsi="Palatino Linotype" w:cs="Times New Roman"/>
          <w:szCs w:val="24"/>
          <w:shd w:val="clear" w:color="auto" w:fill="FFFFFF"/>
        </w:rPr>
      </w:pPr>
    </w:p>
    <w:p w14:paraId="3FB40CFA" w14:textId="21A49E3F" w:rsidR="00F13854" w:rsidRPr="00DB6E4E" w:rsidRDefault="00F13854" w:rsidP="00DB6E4E">
      <w:pPr>
        <w:spacing w:after="120" w:line="240" w:lineRule="auto"/>
        <w:contextualSpacing/>
        <w:rPr>
          <w:rFonts w:ascii="Palatino Linotype" w:hAnsi="Palatino Linotype" w:cstheme="majorBidi"/>
          <w:b/>
          <w:bCs/>
          <w:szCs w:val="24"/>
        </w:rPr>
      </w:pPr>
      <w:r w:rsidRPr="00DB6E4E">
        <w:rPr>
          <w:rFonts w:ascii="Palatino Linotype" w:hAnsi="Palatino Linotype" w:cstheme="majorBidi"/>
          <w:b/>
          <w:bCs/>
          <w:szCs w:val="24"/>
        </w:rPr>
        <w:lastRenderedPageBreak/>
        <w:t>Hypothesis Testing</w:t>
      </w:r>
      <w:r w:rsidR="00A62C04" w:rsidRPr="00DB6E4E">
        <w:rPr>
          <w:rFonts w:ascii="Palatino Linotype" w:hAnsi="Palatino Linotype" w:cstheme="majorBidi"/>
          <w:b/>
          <w:bCs/>
          <w:szCs w:val="24"/>
        </w:rPr>
        <w:t xml:space="preserve"> (T</w:t>
      </w:r>
      <w:r w:rsidRPr="00DB6E4E">
        <w:rPr>
          <w:rFonts w:ascii="Palatino Linotype" w:hAnsi="Palatino Linotype" w:cstheme="majorBidi"/>
          <w:b/>
          <w:bCs/>
          <w:szCs w:val="24"/>
        </w:rPr>
        <w:t>-</w:t>
      </w:r>
      <w:r w:rsidR="00A62C04" w:rsidRPr="00DB6E4E">
        <w:rPr>
          <w:rFonts w:ascii="Palatino Linotype" w:hAnsi="Palatino Linotype" w:cstheme="majorBidi"/>
          <w:b/>
          <w:bCs/>
          <w:szCs w:val="24"/>
        </w:rPr>
        <w:t>T</w:t>
      </w:r>
      <w:r w:rsidRPr="00DB6E4E">
        <w:rPr>
          <w:rFonts w:ascii="Palatino Linotype" w:hAnsi="Palatino Linotype" w:cstheme="majorBidi"/>
          <w:b/>
          <w:bCs/>
          <w:szCs w:val="24"/>
        </w:rPr>
        <w:t>est</w:t>
      </w:r>
      <w:r w:rsidR="00A62C04" w:rsidRPr="00DB6E4E">
        <w:rPr>
          <w:rFonts w:ascii="Palatino Linotype" w:hAnsi="Palatino Linotype" w:cstheme="majorBidi"/>
          <w:b/>
          <w:bCs/>
          <w:szCs w:val="24"/>
        </w:rPr>
        <w:t>)</w:t>
      </w:r>
    </w:p>
    <w:p w14:paraId="7962A1CB" w14:textId="77777777" w:rsidR="00F13854" w:rsidRPr="00DB6E4E" w:rsidRDefault="00F13854" w:rsidP="00DB6E4E">
      <w:pPr>
        <w:spacing w:after="120" w:line="240" w:lineRule="auto"/>
        <w:ind w:firstLine="720"/>
        <w:contextualSpacing/>
        <w:rPr>
          <w:rFonts w:ascii="Palatino Linotype" w:hAnsi="Palatino Linotype" w:cstheme="majorBidi"/>
          <w:szCs w:val="24"/>
        </w:rPr>
      </w:pPr>
      <w:r w:rsidRPr="00DB6E4E">
        <w:rPr>
          <w:rFonts w:ascii="Palatino Linotype" w:hAnsi="Palatino Linotype" w:cstheme="majorBidi"/>
          <w:szCs w:val="24"/>
        </w:rPr>
        <w:t>The results of the t-test by comparing the t-table with the calculated t-table can be seen in the following table:</w:t>
      </w:r>
    </w:p>
    <w:p w14:paraId="263960BC" w14:textId="58370E15" w:rsidR="00A62C04" w:rsidRPr="00DB6E4E" w:rsidRDefault="00A62C04" w:rsidP="007D0B1A">
      <w:pPr>
        <w:pStyle w:val="Tabel1"/>
        <w:numPr>
          <w:ilvl w:val="0"/>
          <w:numId w:val="0"/>
        </w:numPr>
        <w:spacing w:after="120" w:line="240" w:lineRule="auto"/>
        <w:contextualSpacing/>
        <w:rPr>
          <w:rFonts w:ascii="Palatino Linotype" w:hAnsi="Palatino Linotype"/>
          <w:color w:val="auto"/>
          <w:sz w:val="24"/>
          <w:szCs w:val="24"/>
        </w:rPr>
      </w:pPr>
      <w:bookmarkStart w:id="13" w:name="_Toc217672689"/>
      <w:r w:rsidRPr="00DB6E4E">
        <w:rPr>
          <w:rFonts w:ascii="Palatino Linotype" w:hAnsi="Palatino Linotype"/>
          <w:color w:val="auto"/>
          <w:sz w:val="24"/>
          <w:szCs w:val="24"/>
        </w:rPr>
        <w:t>Table.6</w:t>
      </w:r>
      <w:r w:rsidRPr="00DB6E4E">
        <w:rPr>
          <w:rFonts w:ascii="Palatino Linotype" w:hAnsi="Palatino Linotype"/>
          <w:color w:val="auto"/>
          <w:sz w:val="24"/>
          <w:szCs w:val="24"/>
        </w:rPr>
        <w:br/>
      </w:r>
      <w:bookmarkEnd w:id="13"/>
      <w:r w:rsidRPr="00DB6E4E">
        <w:rPr>
          <w:rFonts w:ascii="Palatino Linotype" w:hAnsi="Palatino Linotype"/>
          <w:color w:val="auto"/>
          <w:sz w:val="24"/>
          <w:szCs w:val="24"/>
        </w:rPr>
        <w:t xml:space="preserve">Result of </w:t>
      </w:r>
      <w:r w:rsidR="00DB6E4E">
        <w:rPr>
          <w:rFonts w:ascii="Palatino Linotype" w:hAnsi="Palatino Linotype"/>
          <w:color w:val="auto"/>
          <w:sz w:val="24"/>
          <w:szCs w:val="24"/>
        </w:rPr>
        <w:t>Hypothesis</w:t>
      </w:r>
      <w:r w:rsidRPr="00DB6E4E">
        <w:rPr>
          <w:rFonts w:ascii="Palatino Linotype" w:hAnsi="Palatino Linotype"/>
          <w:color w:val="auto"/>
          <w:sz w:val="24"/>
          <w:szCs w:val="24"/>
        </w:rPr>
        <w:t xml:space="preserve"> Test</w:t>
      </w:r>
    </w:p>
    <w:p w14:paraId="76D318A9" w14:textId="74CEBD5A" w:rsidR="00A62C04" w:rsidRPr="00DB6E4E" w:rsidRDefault="007D0B1A" w:rsidP="007D0B1A">
      <w:pPr>
        <w:spacing w:after="120" w:line="240" w:lineRule="auto"/>
        <w:contextualSpacing/>
        <w:jc w:val="center"/>
        <w:rPr>
          <w:rFonts w:ascii="Palatino Linotype" w:eastAsiaTheme="majorEastAsia" w:hAnsi="Palatino Linotype" w:cstheme="majorBidi"/>
          <w:bCs/>
          <w:szCs w:val="24"/>
        </w:rPr>
      </w:pPr>
      <w:r w:rsidRPr="007D0B1A">
        <w:rPr>
          <w:rFonts w:ascii="Palatino Linotype" w:eastAsiaTheme="majorEastAsia" w:hAnsi="Palatino Linotype" w:cstheme="majorBidi"/>
          <w:bCs/>
          <w:szCs w:val="24"/>
        </w:rPr>
        <w:drawing>
          <wp:inline distT="0" distB="0" distL="0" distR="0" wp14:anchorId="3A432EAA" wp14:editId="0A011FB5">
            <wp:extent cx="4978400" cy="2696972"/>
            <wp:effectExtent l="0" t="0" r="0" b="8255"/>
            <wp:docPr id="195295711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957110" name=""/>
                    <pic:cNvPicPr/>
                  </pic:nvPicPr>
                  <pic:blipFill>
                    <a:blip r:embed="rId11"/>
                    <a:stretch>
                      <a:fillRect/>
                    </a:stretch>
                  </pic:blipFill>
                  <pic:spPr>
                    <a:xfrm>
                      <a:off x="0" y="0"/>
                      <a:ext cx="4984099" cy="2700059"/>
                    </a:xfrm>
                    <a:prstGeom prst="rect">
                      <a:avLst/>
                    </a:prstGeom>
                  </pic:spPr>
                </pic:pic>
              </a:graphicData>
            </a:graphic>
          </wp:inline>
        </w:drawing>
      </w:r>
    </w:p>
    <w:p w14:paraId="6EF6C230" w14:textId="79E53FF2" w:rsidR="00F13854" w:rsidRPr="00DB6E4E" w:rsidRDefault="00F13854" w:rsidP="00DB6E4E">
      <w:pPr>
        <w:spacing w:after="120" w:line="240" w:lineRule="auto"/>
        <w:contextualSpacing/>
        <w:jc w:val="center"/>
        <w:rPr>
          <w:rFonts w:ascii="Palatino Linotype" w:eastAsiaTheme="majorEastAsia" w:hAnsi="Palatino Linotype" w:cstheme="majorBidi"/>
          <w:b/>
          <w:szCs w:val="24"/>
        </w:rPr>
      </w:pPr>
      <w:r w:rsidRPr="00DB6E4E">
        <w:rPr>
          <w:rFonts w:ascii="Palatino Linotype" w:eastAsiaTheme="majorEastAsia" w:hAnsi="Palatino Linotype" w:cstheme="majorBidi"/>
          <w:b/>
          <w:szCs w:val="24"/>
        </w:rPr>
        <w:t xml:space="preserve">Source: </w:t>
      </w:r>
      <w:r w:rsidR="00A62C04" w:rsidRPr="00DB6E4E">
        <w:rPr>
          <w:rFonts w:ascii="Palatino Linotype" w:eastAsiaTheme="majorEastAsia" w:hAnsi="Palatino Linotype" w:cstheme="majorBidi"/>
          <w:b/>
          <w:szCs w:val="24"/>
        </w:rPr>
        <w:t>eviews9</w:t>
      </w:r>
      <w:r w:rsidRPr="00DB6E4E">
        <w:rPr>
          <w:rFonts w:ascii="Palatino Linotype" w:eastAsiaTheme="majorEastAsia" w:hAnsi="Palatino Linotype" w:cstheme="majorBidi"/>
          <w:b/>
          <w:szCs w:val="24"/>
        </w:rPr>
        <w:t xml:space="preserve"> (2025)</w:t>
      </w:r>
    </w:p>
    <w:p w14:paraId="0B84A653" w14:textId="77777777" w:rsidR="00F13854" w:rsidRPr="00DB6E4E" w:rsidRDefault="00F13854" w:rsidP="00DB6E4E">
      <w:pPr>
        <w:spacing w:after="120" w:line="240" w:lineRule="auto"/>
        <w:ind w:firstLine="720"/>
        <w:contextualSpacing/>
        <w:rPr>
          <w:rFonts w:ascii="Palatino Linotype" w:hAnsi="Palatino Linotype"/>
          <w:szCs w:val="24"/>
        </w:rPr>
      </w:pPr>
      <w:r w:rsidRPr="00DB6E4E">
        <w:rPr>
          <w:rFonts w:ascii="Palatino Linotype" w:hAnsi="Palatino Linotype" w:cstheme="majorBidi"/>
          <w:szCs w:val="24"/>
        </w:rPr>
        <w:t>Based on the results of the t-test in the table above</w:t>
      </w:r>
      <w:r w:rsidRPr="00DB6E4E">
        <w:rPr>
          <w:rFonts w:ascii="Palatino Linotype" w:hAnsi="Palatino Linotype"/>
          <w:szCs w:val="24"/>
        </w:rPr>
        <w:t>can be concluded:</w:t>
      </w:r>
    </w:p>
    <w:p w14:paraId="4A11C3EA" w14:textId="6B20408A" w:rsidR="00A62C04" w:rsidRPr="00DB6E4E" w:rsidRDefault="00A62C04" w:rsidP="007D0B1A">
      <w:pPr>
        <w:pStyle w:val="DaftarParagraf"/>
        <w:numPr>
          <w:ilvl w:val="0"/>
          <w:numId w:val="64"/>
        </w:numPr>
        <w:spacing w:after="120" w:line="240" w:lineRule="auto"/>
        <w:ind w:left="426"/>
        <w:jc w:val="lowKashida"/>
        <w:rPr>
          <w:rFonts w:ascii="Palatino Linotype" w:eastAsia="Times New Roman" w:hAnsi="Palatino Linotype" w:cstheme="majorBidi"/>
          <w:color w:val="000000"/>
          <w:sz w:val="24"/>
          <w:szCs w:val="24"/>
        </w:rPr>
      </w:pPr>
      <w:r w:rsidRPr="00DB6E4E">
        <w:rPr>
          <w:rFonts w:ascii="Palatino Linotype" w:eastAsia="Times New Roman" w:hAnsi="Palatino Linotype" w:cstheme="majorBidi"/>
          <w:color w:val="000000"/>
          <w:sz w:val="24"/>
          <w:szCs w:val="24"/>
        </w:rPr>
        <w:t>CAR shows a negative coefficient (−0.188), indicating an inverse relationship with SPG; however, the effect is statistically insignificant (p = 0.846 &gt; 0.05).</w:t>
      </w:r>
    </w:p>
    <w:p w14:paraId="58BC24B4" w14:textId="2F263D8C" w:rsidR="00A62C04" w:rsidRPr="00DB6E4E" w:rsidRDefault="00A62C04" w:rsidP="007D0B1A">
      <w:pPr>
        <w:pStyle w:val="DaftarParagraf"/>
        <w:numPr>
          <w:ilvl w:val="0"/>
          <w:numId w:val="64"/>
        </w:numPr>
        <w:spacing w:after="120" w:line="240" w:lineRule="auto"/>
        <w:ind w:left="426"/>
        <w:jc w:val="lowKashida"/>
        <w:rPr>
          <w:rFonts w:ascii="Palatino Linotype" w:eastAsia="Times New Roman" w:hAnsi="Palatino Linotype" w:cstheme="majorBidi"/>
          <w:color w:val="000000"/>
          <w:sz w:val="24"/>
          <w:szCs w:val="24"/>
        </w:rPr>
      </w:pPr>
      <w:r w:rsidRPr="00DB6E4E">
        <w:rPr>
          <w:rFonts w:ascii="Palatino Linotype" w:eastAsia="Times New Roman" w:hAnsi="Palatino Linotype" w:cstheme="majorBidi"/>
          <w:color w:val="000000"/>
          <w:sz w:val="24"/>
          <w:szCs w:val="24"/>
        </w:rPr>
        <w:t>NNPA has a negative coefficient (−13.094), suggesting a negative association with SPG, but the relationship is not statistically significant (p = 0.456 &gt; 0.05).</w:t>
      </w:r>
    </w:p>
    <w:p w14:paraId="51C0E1DF" w14:textId="69087200" w:rsidR="00A62C04" w:rsidRPr="00DB6E4E" w:rsidRDefault="00A62C04" w:rsidP="007D0B1A">
      <w:pPr>
        <w:pStyle w:val="DaftarParagraf"/>
        <w:numPr>
          <w:ilvl w:val="0"/>
          <w:numId w:val="64"/>
        </w:numPr>
        <w:spacing w:after="120" w:line="240" w:lineRule="auto"/>
        <w:ind w:left="426"/>
        <w:jc w:val="lowKashida"/>
        <w:rPr>
          <w:rFonts w:ascii="Palatino Linotype" w:eastAsia="Times New Roman" w:hAnsi="Palatino Linotype" w:cstheme="majorBidi"/>
          <w:color w:val="000000"/>
          <w:sz w:val="24"/>
          <w:szCs w:val="24"/>
        </w:rPr>
      </w:pPr>
      <w:r w:rsidRPr="00DB6E4E">
        <w:rPr>
          <w:rFonts w:ascii="Palatino Linotype" w:eastAsia="Times New Roman" w:hAnsi="Palatino Linotype" w:cstheme="majorBidi"/>
          <w:color w:val="000000"/>
          <w:sz w:val="24"/>
          <w:szCs w:val="24"/>
        </w:rPr>
        <w:t>CASA exhibits a positive coefficient (3.160), implying a positive relationship with SPG; nevertheless, the effect is statistically insignificant (p = 0.109 &gt; 0.05).</w:t>
      </w:r>
    </w:p>
    <w:p w14:paraId="4DB90458" w14:textId="297E2DCE" w:rsidR="00A62C04" w:rsidRPr="00DB6E4E" w:rsidRDefault="00A62C04" w:rsidP="007D0B1A">
      <w:pPr>
        <w:pStyle w:val="DaftarParagraf"/>
        <w:numPr>
          <w:ilvl w:val="0"/>
          <w:numId w:val="64"/>
        </w:numPr>
        <w:spacing w:after="120" w:line="240" w:lineRule="auto"/>
        <w:ind w:left="426"/>
        <w:jc w:val="lowKashida"/>
        <w:rPr>
          <w:rFonts w:ascii="Palatino Linotype" w:eastAsia="Times New Roman" w:hAnsi="Palatino Linotype" w:cstheme="majorBidi"/>
          <w:color w:val="000000"/>
          <w:sz w:val="24"/>
          <w:szCs w:val="24"/>
        </w:rPr>
      </w:pPr>
      <w:r w:rsidRPr="00DB6E4E">
        <w:rPr>
          <w:rFonts w:ascii="Palatino Linotype" w:eastAsia="Times New Roman" w:hAnsi="Palatino Linotype" w:cstheme="majorBidi"/>
          <w:color w:val="000000"/>
          <w:sz w:val="24"/>
          <w:szCs w:val="24"/>
        </w:rPr>
        <w:t>NIM has a negative coefficient (−34.261) and shows a statistically significant negative effect on SPG (p = 0.0001 &lt; 0.05).</w:t>
      </w:r>
    </w:p>
    <w:p w14:paraId="6969144D" w14:textId="04FA76D9" w:rsidR="00A62C04" w:rsidRPr="00DB6E4E" w:rsidRDefault="00A62C04" w:rsidP="007D0B1A">
      <w:pPr>
        <w:pStyle w:val="DaftarParagraf"/>
        <w:numPr>
          <w:ilvl w:val="0"/>
          <w:numId w:val="64"/>
        </w:numPr>
        <w:spacing w:after="120" w:line="240" w:lineRule="auto"/>
        <w:ind w:left="426"/>
        <w:jc w:val="lowKashida"/>
        <w:rPr>
          <w:rFonts w:ascii="Palatino Linotype" w:eastAsia="Times New Roman" w:hAnsi="Palatino Linotype" w:cstheme="majorBidi"/>
          <w:color w:val="000000"/>
          <w:sz w:val="24"/>
          <w:szCs w:val="24"/>
        </w:rPr>
      </w:pPr>
      <w:r w:rsidRPr="00DB6E4E">
        <w:rPr>
          <w:rFonts w:ascii="Palatino Linotype" w:eastAsia="Times New Roman" w:hAnsi="Palatino Linotype" w:cstheme="majorBidi"/>
          <w:color w:val="000000"/>
          <w:sz w:val="24"/>
          <w:szCs w:val="24"/>
        </w:rPr>
        <w:t>LATA demonstrates a positive coefficient (5.319) and exerts a statistically significant positive influence on SPG (p = 0.008 &lt; 0.05).</w:t>
      </w:r>
    </w:p>
    <w:p w14:paraId="525563A8" w14:textId="7F3CCCAC" w:rsidR="00F31EE0" w:rsidRPr="00DB6E4E" w:rsidRDefault="00A62C04" w:rsidP="007D0B1A">
      <w:pPr>
        <w:pStyle w:val="DaftarParagraf"/>
        <w:numPr>
          <w:ilvl w:val="0"/>
          <w:numId w:val="64"/>
        </w:numPr>
        <w:spacing w:after="120" w:line="240" w:lineRule="auto"/>
        <w:ind w:left="426"/>
        <w:jc w:val="lowKashida"/>
        <w:rPr>
          <w:rFonts w:ascii="Palatino Linotype" w:eastAsia="Times New Roman" w:hAnsi="Palatino Linotype" w:cstheme="majorBidi"/>
          <w:b/>
          <w:bCs/>
          <w:color w:val="000000"/>
          <w:sz w:val="24"/>
          <w:szCs w:val="24"/>
        </w:rPr>
      </w:pPr>
      <w:r w:rsidRPr="00DB6E4E">
        <w:rPr>
          <w:rFonts w:ascii="Palatino Linotype" w:eastAsia="Times New Roman" w:hAnsi="Palatino Linotype" w:cstheme="majorBidi"/>
          <w:color w:val="000000"/>
          <w:sz w:val="24"/>
          <w:szCs w:val="24"/>
        </w:rPr>
        <w:t>Bank Size (SIZE) shows a positive coefficient (82.534), indicating a positive relationship with SPG; however, the effect is not statistically significant (p = 0.145 &gt; 0.05).</w:t>
      </w:r>
      <w:r w:rsidR="00F31EE0" w:rsidRPr="00DB6E4E">
        <w:rPr>
          <w:rFonts w:ascii="Palatino Linotype" w:eastAsia="Times New Roman" w:hAnsi="Palatino Linotype" w:cstheme="majorBidi"/>
          <w:b/>
          <w:bCs/>
          <w:color w:val="000000"/>
          <w:sz w:val="24"/>
          <w:szCs w:val="24"/>
        </w:rPr>
        <w:br w:type="page"/>
      </w:r>
    </w:p>
    <w:p w14:paraId="7EDE5F3C" w14:textId="2873ABD1" w:rsidR="00A62C04" w:rsidRPr="00DB6E4E" w:rsidRDefault="00A62C04" w:rsidP="00B920DA">
      <w:pPr>
        <w:pStyle w:val="DaftarParagraf"/>
        <w:spacing w:after="0" w:line="240" w:lineRule="auto"/>
        <w:ind w:left="0"/>
        <w:jc w:val="both"/>
        <w:rPr>
          <w:rFonts w:ascii="Palatino Linotype" w:eastAsia="Times New Roman" w:hAnsi="Palatino Linotype" w:cstheme="majorBidi"/>
          <w:b/>
          <w:bCs/>
          <w:color w:val="000000"/>
          <w:sz w:val="24"/>
          <w:szCs w:val="24"/>
          <w:lang w:val="en-US"/>
        </w:rPr>
      </w:pPr>
      <w:r w:rsidRPr="00DB6E4E">
        <w:rPr>
          <w:rFonts w:ascii="Palatino Linotype" w:eastAsia="Times New Roman" w:hAnsi="Palatino Linotype" w:cstheme="majorBidi"/>
          <w:b/>
          <w:bCs/>
          <w:color w:val="000000"/>
          <w:sz w:val="24"/>
          <w:szCs w:val="24"/>
        </w:rPr>
        <w:lastRenderedPageBreak/>
        <w:t>The Effect of Capital Adequacy Ratio (CAR) on S</w:t>
      </w:r>
      <w:r w:rsidR="0085460A" w:rsidRPr="00DB6E4E">
        <w:rPr>
          <w:rFonts w:ascii="Palatino Linotype" w:eastAsia="Times New Roman" w:hAnsi="Palatino Linotype" w:cstheme="majorBidi"/>
          <w:b/>
          <w:bCs/>
          <w:color w:val="000000"/>
          <w:sz w:val="24"/>
          <w:szCs w:val="24"/>
        </w:rPr>
        <w:t>hare</w:t>
      </w:r>
      <w:r w:rsidRPr="00DB6E4E">
        <w:rPr>
          <w:rFonts w:ascii="Palatino Linotype" w:eastAsia="Times New Roman" w:hAnsi="Palatino Linotype" w:cstheme="majorBidi"/>
          <w:b/>
          <w:bCs/>
          <w:color w:val="000000"/>
          <w:sz w:val="24"/>
          <w:szCs w:val="24"/>
        </w:rPr>
        <w:t xml:space="preserve"> Price Growth</w:t>
      </w:r>
    </w:p>
    <w:p w14:paraId="0D996218" w14:textId="7358D100" w:rsidR="00A62C04" w:rsidRPr="00DB6E4E" w:rsidRDefault="00A62C04" w:rsidP="00B920DA">
      <w:pPr>
        <w:autoSpaceDE w:val="0"/>
        <w:autoSpaceDN w:val="0"/>
        <w:adjustRightInd w:val="0"/>
        <w:spacing w:after="0" w:line="240" w:lineRule="auto"/>
        <w:ind w:right="-1"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The analysis indicates that the Capital Adequacy Ratio does not have a significant effect on share price growth. This finding is consistent with </w:t>
      </w:r>
      <w:r w:rsidR="00404549" w:rsidRPr="00DB6E4E">
        <w:rPr>
          <w:rFonts w:ascii="Palatino Linotype" w:eastAsiaTheme="minorHAnsi" w:hAnsi="Palatino Linotype" w:cstheme="minorBidi"/>
          <w:szCs w:val="24"/>
          <w:lang w:val="id-ID"/>
        </w:rPr>
        <w:fldChar w:fldCharType="begin" w:fldLock="1"/>
      </w:r>
      <w:r w:rsidR="00404549" w:rsidRPr="00DB6E4E">
        <w:rPr>
          <w:rFonts w:ascii="Palatino Linotype" w:eastAsiaTheme="minorHAnsi" w:hAnsi="Palatino Linotype" w:cstheme="minorBidi"/>
          <w:szCs w:val="24"/>
          <w:lang w:val="id-ID"/>
        </w:rPr>
        <w:instrText>ADDIN CSL_CITATION {"citationItems":[{"id":"ITEM-1","itemData":{"DOI":"10.22219/jameela.v3i1.37921","author":[{"dropping-particle":"","family":"Ivansyah","given":"Dimas Fernanda","non-dropping-particle":"","parse-names":false,"suffix":""},{"dropping-particle":"","family":"Widagdo","given":"Bambang","non-dropping-particle":"","parse-names":false,"suffix":""}],"id":"ITEM-1","issue":"1","issued":{"date-parts":[["2025"]]},"page":"22-39","title":"on Accounting Literature Impact of Interest Rates &amp; Capital Adequacy on Stock Returns : Profitability ' s Role","type":"article-journal","volume":"3"},"uris":["http://www.mendeley.com/documents/?uuid=9de88214-1d3c-4523-93a6-95c443cd2a4c"]}],"mendeley":{"formattedCitation":"(Ivansyah &amp; Widagdo, 2025)","manualFormatting":"Ivansyah &amp; Widagdo, (2025)","plainTextFormattedCitation":"(Ivansyah &amp; Widagdo, 2025)","previouslyFormattedCitation":"(Ivansyah &amp; Widagdo, 2025)"},"properties":{"noteIndex":0},"schema":"https://github.com/citation-style-language/schema/raw/master/csl-citation.json"}</w:instrText>
      </w:r>
      <w:r w:rsidR="00404549" w:rsidRPr="00DB6E4E">
        <w:rPr>
          <w:rFonts w:ascii="Palatino Linotype" w:eastAsiaTheme="minorHAnsi" w:hAnsi="Palatino Linotype" w:cstheme="minorBidi"/>
          <w:szCs w:val="24"/>
          <w:lang w:val="id-ID"/>
        </w:rPr>
        <w:fldChar w:fldCharType="separate"/>
      </w:r>
      <w:r w:rsidR="00404549" w:rsidRPr="00DB6E4E">
        <w:rPr>
          <w:rFonts w:ascii="Palatino Linotype" w:eastAsiaTheme="minorHAnsi" w:hAnsi="Palatino Linotype" w:cstheme="minorBidi"/>
          <w:noProof/>
          <w:szCs w:val="24"/>
          <w:lang w:val="id-ID"/>
        </w:rPr>
        <w:t>Ivansyah &amp; Widagdo, (2025)</w:t>
      </w:r>
      <w:r w:rsidR="00404549"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who report that capital adequacy does not significantly influence banking stock returns. Although CAR reflects a bank’s capacity to absorb credit, operational, and market risks, a higher CAR does not necessarily translate into improved stock performance. CAR primarily serves as a regulatory measure of financial stability rather than a direct indicator of profitability. Consequently, banks may maintain strong capital positions while still experiencing pressure on earnings or interest margins, limiting its impact on stock returns.</w:t>
      </w:r>
    </w:p>
    <w:p w14:paraId="79EE15DF" w14:textId="479E0BEC" w:rsidR="00A62C04" w:rsidRPr="00DB6E4E" w:rsidRDefault="00A62C04" w:rsidP="00B920DA">
      <w:pPr>
        <w:autoSpaceDE w:val="0"/>
        <w:autoSpaceDN w:val="0"/>
        <w:adjustRightInd w:val="0"/>
        <w:spacing w:after="0" w:line="240" w:lineRule="auto"/>
        <w:ind w:right="-1" w:firstLine="709"/>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In contrast, other studies, such as </w:t>
      </w:r>
      <w:r w:rsidR="00404549" w:rsidRPr="00DB6E4E">
        <w:rPr>
          <w:rFonts w:ascii="Palatino Linotype" w:eastAsiaTheme="minorHAnsi" w:hAnsi="Palatino Linotype" w:cstheme="minorBidi"/>
          <w:szCs w:val="24"/>
          <w:lang w:val="id-ID"/>
        </w:rPr>
        <w:fldChar w:fldCharType="begin" w:fldLock="1"/>
      </w:r>
      <w:r w:rsidR="00404549" w:rsidRPr="00DB6E4E">
        <w:rPr>
          <w:rFonts w:ascii="Palatino Linotype" w:eastAsiaTheme="minorHAnsi" w:hAnsi="Palatino Linotype" w:cstheme="minorBidi"/>
          <w:szCs w:val="24"/>
          <w:lang w:val="id-ID"/>
        </w:rPr>
        <w:instrText>ADDIN CSL_CITATION {"citationItems":[{"id":"ITEM-1","itemData":{"author":[{"dropping-particle":"","family":"Obadire","given":"Ayodeji Michael","non-dropping-particle":"","parse-names":false,"suffix":""},{"dropping-particle":"","family":"Moyo","given":"Vusani","non-dropping-particle":"","parse-names":false,"suffix":""}],"id":"ITEM-1","issued":{"date-parts":[["2023"]]},"title":"An Empirical Analysis of the Dynamics Influencing Bank Capital Structure in Africa","type":"article-journal"},"uris":["http://www.mendeley.com/documents/?uuid=04798eb8-55d4-4334-85b7-def318c24087"]}],"mendeley":{"formattedCitation":"(Obadire &amp; Moyo, 2023)","manualFormatting":"Obadire &amp; Moyo, (2023)","plainTextFormattedCitation":"(Obadire &amp; Moyo, 2023)","previouslyFormattedCitation":"(Obadire &amp; Moyo, 2023)"},"properties":{"noteIndex":0},"schema":"https://github.com/citation-style-language/schema/raw/master/csl-citation.json"}</w:instrText>
      </w:r>
      <w:r w:rsidR="00404549" w:rsidRPr="00DB6E4E">
        <w:rPr>
          <w:rFonts w:ascii="Palatino Linotype" w:eastAsiaTheme="minorHAnsi" w:hAnsi="Palatino Linotype" w:cstheme="minorBidi"/>
          <w:szCs w:val="24"/>
          <w:lang w:val="id-ID"/>
        </w:rPr>
        <w:fldChar w:fldCharType="separate"/>
      </w:r>
      <w:r w:rsidR="00404549" w:rsidRPr="00DB6E4E">
        <w:rPr>
          <w:rFonts w:ascii="Palatino Linotype" w:eastAsiaTheme="minorHAnsi" w:hAnsi="Palatino Linotype" w:cstheme="minorBidi"/>
          <w:noProof/>
          <w:szCs w:val="24"/>
          <w:lang w:val="id-ID"/>
        </w:rPr>
        <w:t>Obadire &amp; Moyo, (2023)</w:t>
      </w:r>
      <w:r w:rsidR="00404549"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argue that capital can be effectively utilized to expand assets and generate profits. Excess capital may enhance profitability, whereas insufficient capital can constrain bank expansion and adversely affect the perceptions of depositors, borrowers, and shareholders. Such conditions may influence investor expectations and, in turn,</w:t>
      </w:r>
      <w:r w:rsidR="0035770B" w:rsidRPr="00DB6E4E">
        <w:rPr>
          <w:rFonts w:ascii="Palatino Linotype" w:eastAsiaTheme="minorHAnsi" w:hAnsi="Palatino Linotype" w:cstheme="minorBidi"/>
          <w:szCs w:val="24"/>
          <w:lang w:val="id-ID"/>
        </w:rPr>
        <w:t xml:space="preserve"> </w:t>
      </w:r>
      <w:r w:rsidRPr="00DB6E4E">
        <w:rPr>
          <w:rFonts w:ascii="Palatino Linotype" w:eastAsiaTheme="minorHAnsi" w:hAnsi="Palatino Linotype" w:cstheme="minorBidi"/>
          <w:szCs w:val="24"/>
          <w:lang w:val="id-ID"/>
        </w:rPr>
        <w:t>affect stock returns.</w:t>
      </w:r>
    </w:p>
    <w:p w14:paraId="11145EF1" w14:textId="390FE090" w:rsidR="0035770B" w:rsidRPr="00DB6E4E" w:rsidRDefault="0035770B" w:rsidP="00B920DA">
      <w:pPr>
        <w:pStyle w:val="DaftarParagraf"/>
        <w:spacing w:after="0" w:line="240" w:lineRule="auto"/>
        <w:ind w:left="0"/>
        <w:jc w:val="both"/>
        <w:rPr>
          <w:rFonts w:ascii="Palatino Linotype" w:eastAsia="Times New Roman" w:hAnsi="Palatino Linotype" w:cstheme="majorBidi"/>
          <w:b/>
          <w:bCs/>
          <w:color w:val="000000"/>
          <w:sz w:val="24"/>
          <w:szCs w:val="24"/>
          <w:lang w:val="en-US"/>
        </w:rPr>
      </w:pPr>
      <w:r w:rsidRPr="00DB6E4E">
        <w:rPr>
          <w:rFonts w:ascii="Palatino Linotype" w:eastAsia="Times New Roman" w:hAnsi="Palatino Linotype" w:cstheme="majorBidi"/>
          <w:b/>
          <w:bCs/>
          <w:color w:val="000000"/>
          <w:sz w:val="24"/>
          <w:szCs w:val="24"/>
        </w:rPr>
        <w:t>The Effect of Net Non-Performing Assets (NNPA) on S</w:t>
      </w:r>
      <w:r w:rsidR="0085460A" w:rsidRPr="00DB6E4E">
        <w:rPr>
          <w:rFonts w:ascii="Palatino Linotype" w:eastAsia="Times New Roman" w:hAnsi="Palatino Linotype" w:cstheme="majorBidi"/>
          <w:b/>
          <w:bCs/>
          <w:color w:val="000000"/>
          <w:sz w:val="24"/>
          <w:szCs w:val="24"/>
        </w:rPr>
        <w:t>hare</w:t>
      </w:r>
      <w:r w:rsidRPr="00DB6E4E">
        <w:rPr>
          <w:rFonts w:ascii="Palatino Linotype" w:eastAsia="Times New Roman" w:hAnsi="Palatino Linotype" w:cstheme="majorBidi"/>
          <w:b/>
          <w:bCs/>
          <w:color w:val="000000"/>
          <w:sz w:val="24"/>
          <w:szCs w:val="24"/>
        </w:rPr>
        <w:t xml:space="preserve"> Price Growth</w:t>
      </w:r>
    </w:p>
    <w:p w14:paraId="74DA7381" w14:textId="5603FBD8" w:rsidR="0035770B" w:rsidRPr="00DB6E4E" w:rsidRDefault="0035770B" w:rsidP="00B920DA">
      <w:pPr>
        <w:autoSpaceDE w:val="0"/>
        <w:autoSpaceDN w:val="0"/>
        <w:adjustRightInd w:val="0"/>
        <w:spacing w:after="0" w:line="240" w:lineRule="auto"/>
        <w:ind w:right="-1"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The analysis indicates that Net Non-Performing Assets do not have a significant effect on share price growth. According to </w:t>
      </w:r>
      <w:r w:rsidR="00404549"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{"citationItems":[{"id":"ITEM-1","itemData":{"DOI":"10.47191/ijmra/v6-i1-23","author":[{"dropping-particle":"","family":"Tahu","given":"Gregorius Paulus","non-dropping-particle":"","parse-names":false,"suffix":""},{"dropping-particle":"","family":"Luh","given":"Ni","non-dropping-particle":"","parse-names":false,"suffix":""},{"dropping-particle":"","family":"Saputri","given":"Gede","non-dropping-particle":"","parse-names":false,"suffix":""},{"dropping-particle":"","family":"Ngr","given":"I Gst","non-dropping-particle":"","parse-names":false,"suffix":""},{"dropping-particle":"","family":"Gunadi","given":"Bagus","non-dropping-particle":"","parse-names":false,"suffix":""}],"id":"ITEM-1","issue":"01","issued":{"date-parts":[["2023"]]},"page":"184-192","title":"The Influence of Capital Adequacy Ratio ( CAR ), Non-Performing Loan ( NPL ), and Loan to Deposit Ratio ( LDR ) on Profitability in Banking Companies on the Indonesia Stock Exchange","type":"article-journal","volume":"06"},"uris":["http://www.mendeley.com/documents/?uuid=f7ebc6f7-c4fe-43e8-8df4-d07e40a3600e"]}],"mendeley":{"formattedCitation":"(Tahu et al., 2023)","manualFormatting":"Tahu et al, (2023)","plainTextFormattedCitation":"(Tahu et al., 2023)","previouslyFormattedCitation":"(Tahu et al., 2023)"},"properties":{"noteIndex":0},"schema":"https://github.com/citation-style-language/schema/raw/master/csl-citation.json"}</w:instrText>
      </w:r>
      <w:r w:rsidR="00404549" w:rsidRPr="00DB6E4E">
        <w:rPr>
          <w:rFonts w:ascii="Palatino Linotype" w:eastAsiaTheme="minorHAnsi" w:hAnsi="Palatino Linotype" w:cstheme="minorBidi"/>
          <w:szCs w:val="24"/>
          <w:lang w:val="id-ID"/>
        </w:rPr>
        <w:fldChar w:fldCharType="separate"/>
      </w:r>
      <w:r w:rsidR="00404549" w:rsidRPr="00DB6E4E">
        <w:rPr>
          <w:rFonts w:ascii="Palatino Linotype" w:eastAsiaTheme="minorHAnsi" w:hAnsi="Palatino Linotype" w:cstheme="minorBidi"/>
          <w:noProof/>
          <w:szCs w:val="24"/>
          <w:lang w:val="id-ID"/>
        </w:rPr>
        <w:t>Tahu et al, (2023)</w:t>
      </w:r>
      <w:r w:rsidR="00404549"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NNPA represents an additional burden that may reduce bank profitability, and higher NNPA levels are generally expected to exert downward pressure on stock prices by weakening banks’ primary revenue source, namely interest income from loans.</w:t>
      </w:r>
    </w:p>
    <w:p w14:paraId="1D2B9A6F" w14:textId="1E4859C4" w:rsidR="0035770B" w:rsidRPr="00DB6E4E" w:rsidRDefault="0035770B" w:rsidP="00B920DA">
      <w:pPr>
        <w:autoSpaceDE w:val="0"/>
        <w:autoSpaceDN w:val="0"/>
        <w:adjustRightInd w:val="0"/>
        <w:spacing w:after="0" w:line="240" w:lineRule="auto"/>
        <w:ind w:right="-1" w:firstLine="709"/>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However, other studies, such as </w:t>
      </w:r>
      <w:r w:rsidR="00404549"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{"citationItems":[{"id":"ITEM-1","itemData":{"author":[{"dropping-particle":"","family":"Firmansyah","given":"Irman","non-dropping-particle":"","parse-names":false,"suffix":""}],"id":"ITEM-1","issue":"1","issued":{"date-parts":[["2022"]]},"title":"The Impact of Profitability , Leverage and Non-Performing Loan on Banking Stock Return","type":"article-journal","volume":"2"},"uris":["http://www.mendeley.com/documents/?uuid=21f9f40d-e106-4bf0-8054-2bf761cc2858"]}],"mendeley":{"formattedCitation":"(Firmansyah, 2022)","manualFormatting":"Firmansyah, (2022)","plainTextFormattedCitation":"(Firmansyah, 2022)","previouslyFormattedCitation":"(Firmansyah, 2022)"},"properties":{"noteIndex":0},"schema":"https://github.com/citation-style-language/schema/raw/master/csl-citation.json"}</w:instrText>
      </w:r>
      <w:r w:rsidR="00404549" w:rsidRPr="00DB6E4E">
        <w:rPr>
          <w:rFonts w:ascii="Palatino Linotype" w:eastAsiaTheme="minorHAnsi" w:hAnsi="Palatino Linotype" w:cstheme="minorBidi"/>
          <w:szCs w:val="24"/>
          <w:lang w:val="id-ID"/>
        </w:rPr>
        <w:fldChar w:fldCharType="separate"/>
      </w:r>
      <w:r w:rsidR="00404549" w:rsidRPr="00DB6E4E">
        <w:rPr>
          <w:rFonts w:ascii="Palatino Linotype" w:eastAsiaTheme="minorHAnsi" w:hAnsi="Palatino Linotype" w:cstheme="minorBidi"/>
          <w:noProof/>
          <w:szCs w:val="24"/>
          <w:lang w:val="id-ID"/>
        </w:rPr>
        <w:t xml:space="preserve">Firmansyah, </w:t>
      </w:r>
      <w:r w:rsidR="009F5CC8" w:rsidRPr="00DB6E4E">
        <w:rPr>
          <w:rFonts w:ascii="Palatino Linotype" w:eastAsiaTheme="minorHAnsi" w:hAnsi="Palatino Linotype" w:cstheme="minorBidi"/>
          <w:noProof/>
          <w:szCs w:val="24"/>
          <w:lang w:val="id-ID"/>
        </w:rPr>
        <w:t>(</w:t>
      </w:r>
      <w:r w:rsidR="00404549" w:rsidRPr="00DB6E4E">
        <w:rPr>
          <w:rFonts w:ascii="Palatino Linotype" w:eastAsiaTheme="minorHAnsi" w:hAnsi="Palatino Linotype" w:cstheme="minorBidi"/>
          <w:noProof/>
          <w:szCs w:val="24"/>
          <w:lang w:val="id-ID"/>
        </w:rPr>
        <w:t>2022)</w:t>
      </w:r>
      <w:r w:rsidR="00404549"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find that NNPA has a significant impact on stock returns, suggesting that variations in non-performing loans influence the returns distributed by listed banking firms. This may occur because the average NNPA levels in Indonesian banks remain within acceptable regulatory thresholds, below the 5% limit set by Bank Indonesia. Under such conditions, increases in NNPA may coincide with rising stock prices, leading investors to remain confident in the banking sector.</w:t>
      </w:r>
    </w:p>
    <w:p w14:paraId="1A1D4304" w14:textId="77777777" w:rsidR="0085460A" w:rsidRPr="00DB6E4E" w:rsidRDefault="0085460A" w:rsidP="00B920DA">
      <w:pPr>
        <w:spacing w:after="0" w:line="240" w:lineRule="auto"/>
        <w:contextualSpacing/>
        <w:jc w:val="lowKashida"/>
        <w:rPr>
          <w:rFonts w:ascii="Palatino Linotype" w:eastAsia="Times New Roman" w:hAnsi="Palatino Linotype" w:cstheme="majorBidi"/>
          <w:b/>
          <w:bCs/>
          <w:color w:val="000000"/>
          <w:szCs w:val="24"/>
        </w:rPr>
      </w:pPr>
      <w:r w:rsidRPr="00DB6E4E">
        <w:rPr>
          <w:rFonts w:ascii="Palatino Linotype" w:eastAsia="Times New Roman" w:hAnsi="Palatino Linotype" w:cstheme="majorBidi"/>
          <w:b/>
          <w:bCs/>
          <w:color w:val="000000"/>
          <w:szCs w:val="24"/>
        </w:rPr>
        <w:br w:type="page"/>
      </w:r>
    </w:p>
    <w:p w14:paraId="0162012E" w14:textId="4A4026CC" w:rsidR="0085460A" w:rsidRPr="00DB6E4E" w:rsidRDefault="0085460A" w:rsidP="00B920DA">
      <w:pPr>
        <w:spacing w:after="0" w:line="240" w:lineRule="auto"/>
        <w:contextualSpacing/>
        <w:jc w:val="lowKashida"/>
        <w:rPr>
          <w:rFonts w:ascii="Palatino Linotype" w:eastAsia="Times New Roman" w:hAnsi="Palatino Linotype" w:cstheme="majorBidi"/>
          <w:b/>
          <w:bCs/>
          <w:color w:val="000000"/>
          <w:szCs w:val="24"/>
          <w:lang w:val="id-ID"/>
        </w:rPr>
      </w:pPr>
      <w:r w:rsidRPr="00DB6E4E">
        <w:rPr>
          <w:rFonts w:ascii="Palatino Linotype" w:eastAsia="Times New Roman" w:hAnsi="Palatino Linotype" w:cstheme="majorBidi"/>
          <w:b/>
          <w:bCs/>
          <w:color w:val="000000"/>
          <w:szCs w:val="24"/>
        </w:rPr>
        <w:lastRenderedPageBreak/>
        <w:t>The Effect of Current Account Saving Account (CASA) on Share Price Growth</w:t>
      </w:r>
    </w:p>
    <w:p w14:paraId="5D1812BB" w14:textId="0563C992" w:rsidR="0085460A" w:rsidRPr="00DB6E4E" w:rsidRDefault="0085460A"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The analysis indicates that the Current Account Saving Account (CASA) ratio does not have a significant effect on stock price growth. Although a higher CASA ratio reflects lower funding costs and better funding efficiency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{"citationItems":[{"id":"ITEM-1","itemData":{"DOI":"10.12688/f1000research.151628.2","ISSN":"20461402","PMID":"39944613","abstract":"Background: This study aims to gain insight into the effect of banks’ financial performance on their market performance. We conceptualized the research subject on the assumption that the financial performance of an organization is the most important criterion for triggering movement in its stock price. We explored various models and parameters to evaluate financial performance of banks and found CAMELS being one of the most comprehensive and appropriate model. We considered share price growth of banks to measure their stock market performance Methods: We collected financial and stock market data pertaining to 32 listed Indian banks for the period 2018 to 2022. The study has employed multiple linear regression analysis of panel data for evaluating the relationship between independent and dependent variables. We adopted panel regression for data analysis and used the Prais- Winsten regression with panel corrected standard errors, as the data suffers from contemporaneous cross-sectional correlation. Results: The results show that net non-performing assets, net interest margins, and return on capital have a significant negative impact on share price growth. The capital adequacy ratio and the current and savings account deposit ratios have a positive insignificant impact. The liquid asset-to-total asset ratio has a negative, insignificant impact. The coefficient of determination indicates that the share price growth of banks is more dependent on other factors which are not included in the regression analysis of this study. Conclusion: This study helps investors and bankers understand the limited impact of financial parameters on banks’stock prices and to look for other parameters which explain the stock price movement better.","author":[{"dropping-particle":"","family":"Sar","given":"Ashok","non-dropping-particle":"","parse-names":false,"suffix":""},{"dropping-particle":"","family":"Panigrahi","given":"Kshirod","non-dropping-particle":"","parse-names":false,"suffix":""}],"container-title":"F1000Research","id":"ITEM-1","issued":{"date-parts":[["2025"]]},"title":"The dynamics of financial performance and market performance in the context of Indian banking industry","type":"article-journal","volume":"13"},"uris":["http://www.mendeley.com/documents/?uuid=3f949c5c-2d87-4e73-867b-2ea8d142803e"]}],"mendeley":{"formattedCitation":"(Sar &amp; Panigrahi, 2025)","manualFormatting":"Sar &amp; Panigrahi, (2025)","plainTextFormattedCitation":"(Sar &amp; Panigrahi, 2025)","previouslyFormattedCitation":"(Sar &amp; Panigrahi, 2025)"},"properties":{"noteIndex":0},"schema":"https://github.com/citation-style-language/schema/raw/master/csl-citation.json"}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Sar &amp; Panigrahi, (2025)</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the market does not perceive changes in low-cost deposits as a primary driver of banking stock returns. Investors appear to place greater emphasis on factors that directly influence firm valuation, such as credit growth, asset quality, profitability, and macroeconomic conditions.</w:t>
      </w:r>
    </w:p>
    <w:p w14:paraId="6714639E" w14:textId="227EE742" w:rsidR="0085460A" w:rsidRPr="00DB6E4E" w:rsidRDefault="003901BA"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In contrast, prior studies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DOI":"10.1108/MRR-08-2019-0338","author":[{"dropping-particle":"","family":"Yasar","given":"Burze","non-dropping-particle":"","parse-names":false,"suffix":""},{"dropping-particle":"","family":"Martin","given":"Thomas","non-dropping-particle":"","parse-names":false,"suffix":""},{"dropping-particle":"","family":"Kiessling","given":"Timothy","non-dropping-particle":"","parse-names":false,"suffix":""}],"id":"ITEM-1","issued":{"date-parts":[["2020"]]},"title":"An empirical test of signalling theory theory","type":"article-journal"},"uris":["http://www.mendeley.com/documents/?uuid=856b3642-3e7f-441d-8526-aea71773cb05"]}],"mendeley":{"formattedCitation":"(Yasar et al., 2020)","manualFormatting":"Yasar et al, (2020)","plainTextFormattedCitation":"(Yasar et al., 2020)","previouslyFormattedCitation":"(Yasar et al., 2020)"},"properties":{"noteIndex":0},"schema":"https://github.com/citation-style-language/schema/raw/master/csl-citation.json"}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Yasar et al, (2020)</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xml:space="preserve"> report a significant positive relationship between the CASA ratio and stock prices, suggesting that CASA effectively captures firm value in the banking sector. From a signaling theory perspective, a high CASA ratio may serve as a positive signal of future performance, guiding managerial strategies toward low-cost funding to enhance firm value and attract investors.</w:t>
      </w:r>
    </w:p>
    <w:p w14:paraId="3F0ABE31" w14:textId="7207A009" w:rsidR="003901BA" w:rsidRPr="00DB6E4E" w:rsidRDefault="003901BA" w:rsidP="00B920DA">
      <w:pPr>
        <w:widowControl w:val="0"/>
        <w:autoSpaceDE w:val="0"/>
        <w:autoSpaceDN w:val="0"/>
        <w:spacing w:after="0" w:line="240" w:lineRule="auto"/>
        <w:ind w:right="136"/>
        <w:contextualSpacing/>
        <w:rPr>
          <w:rFonts w:ascii="Palatino Linotype" w:eastAsiaTheme="minorHAnsi" w:hAnsi="Palatino Linotype" w:cstheme="minorBidi"/>
          <w:b/>
          <w:bCs/>
          <w:szCs w:val="24"/>
        </w:rPr>
      </w:pPr>
      <w:r w:rsidRPr="00DB6E4E">
        <w:rPr>
          <w:rFonts w:ascii="Palatino Linotype" w:eastAsiaTheme="minorHAnsi" w:hAnsi="Palatino Linotype" w:cstheme="minorBidi"/>
          <w:b/>
          <w:bCs/>
          <w:szCs w:val="24"/>
        </w:rPr>
        <w:t>The Effect of Net Interest Margin (NIM) on Share Price Growth</w:t>
      </w:r>
    </w:p>
    <w:p w14:paraId="15A896BF" w14:textId="57E1259D" w:rsidR="003901BA" w:rsidRPr="00DB6E4E" w:rsidRDefault="003901BA"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The results show that </w:t>
      </w:r>
      <w:r w:rsidR="000B431D" w:rsidRPr="00DB6E4E">
        <w:rPr>
          <w:rFonts w:ascii="Palatino Linotype" w:eastAsiaTheme="minorHAnsi" w:hAnsi="Palatino Linotype" w:cstheme="minorBidi"/>
          <w:szCs w:val="24"/>
          <w:lang w:val="id-ID"/>
        </w:rPr>
        <w:t>Net Interest Margin</w:t>
      </w:r>
      <w:r w:rsidRPr="00DB6E4E">
        <w:rPr>
          <w:rFonts w:ascii="Palatino Linotype" w:eastAsiaTheme="minorHAnsi" w:hAnsi="Palatino Linotype" w:cstheme="minorBidi"/>
          <w:szCs w:val="24"/>
          <w:lang w:val="id-ID"/>
        </w:rPr>
        <w:t xml:space="preserve"> (NIM) has a positive and significant effect on stock price growth. A higher NIM reflects greater efficiency in managing interest income relative to interest expenses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{"citationItems":[{"id":"ITEM-1","itemData":{"author":[{"dropping-particle":"","family":"Mahardika","given":"Muhammad Hurri","non-dropping-particle":"","parse-names":false,"suffix":""}],"id":"ITEM-1","issue":"1","issued":{"date-parts":[["2025"]]},"page":"67-79","title":"Analysis The Impact of Bank Fundamental Indicators ( ROA , NPM , DER , EPS , PER , CAR , NIM , BOPO , AND LDR ) on the Stock Returns of Indonesian State-Owned Banks for the Period","type":"article-journal","volume":"4"},"uris":["http://www.mendeley.com/documents/?uuid=0370c8af-a152-435d-b088-41cf1508209d"]}],"mendeley":{"formattedCitation":"(Mahardika, 2025)","manualFormatting":"Mahardika, (2025)","plainTextFormattedCitation":"(Mahardika, 2025)","previouslyFormattedCitation":"(Mahardika, 2025)"},"properties":{"noteIndex":0},"schema":"https://github.com/citation-style-language/schema/raw/master/csl-citation.json"}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Mahardika, (2025)</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indicating stronger intermediation performance and higher profit potential. This condition sends a positive signal to investors, increases confidence in future earnings growth, and ultimately contributes to rising bank stock prices.</w:t>
      </w:r>
    </w:p>
    <w:p w14:paraId="498C640E" w14:textId="12142739" w:rsidR="003901BA" w:rsidRPr="00DB6E4E" w:rsidRDefault="003901BA"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However, some studies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{"citationItems":[{"id":"ITEM-1","itemData":{"DOI":"10.47191/ijcsrr/V7-i8-31","author":[{"dropping-particle":"","family":"Hutapea","given":"Sarayesa Hutari","non-dropping-particle":"","parse-names":false,"suffix":""}],"id":"ITEM-1","issue":"08","issued":{"date-parts":[["2024"]]},"page":"6184-6189","title":"International Journal of Current Science Research and Review The Interplay of Digital Maturity , Financial Performance , and Stock Returns in Indonesian Publicly Listed Banks","type":"article-journal","volume":"07"},"uris":["http://www.mendeley.com/documents/?uuid=22f8b59c-bf14-4d50-ab54-bc3d40adfb18"]}],"mendeley":{"formattedCitation":"(Hutapea, 2024)","manualFormatting":"Hutapea, (2024)","plainTextFormattedCitation":"(Hutapea, 2024)","previouslyFormattedCitation":"(Hutapea, 2024)"},"properties":{"noteIndex":0},"schema":"https://github.com/citation-style-language/schema/raw/master/csl-citation.json"}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Hutapea, (2024)</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xml:space="preserve"> report an insignificant relationship between NIM and stock returns, contrasting with findings that identify a positive effect. These results suggest that although NIM is an important operational indicator, investors may place greater weight on broader profitability measures such as ROA and ROE, which more directly reflect a bank’s overall financial condition and growth prospects.</w:t>
      </w:r>
    </w:p>
    <w:p w14:paraId="5AEA1F70" w14:textId="63470DDB" w:rsidR="003901BA" w:rsidRPr="00DB6E4E" w:rsidRDefault="003901BA" w:rsidP="00B920DA">
      <w:pPr>
        <w:widowControl w:val="0"/>
        <w:autoSpaceDE w:val="0"/>
        <w:autoSpaceDN w:val="0"/>
        <w:spacing w:after="0" w:line="240" w:lineRule="auto"/>
        <w:ind w:right="136"/>
        <w:contextualSpacing/>
        <w:rPr>
          <w:rFonts w:ascii="Palatino Linotype" w:eastAsiaTheme="minorHAnsi" w:hAnsi="Palatino Linotype" w:cstheme="minorBidi"/>
          <w:b/>
          <w:bCs/>
          <w:szCs w:val="24"/>
        </w:rPr>
      </w:pPr>
      <w:r w:rsidRPr="00DB6E4E">
        <w:rPr>
          <w:rFonts w:ascii="Palatino Linotype" w:eastAsiaTheme="minorHAnsi" w:hAnsi="Palatino Linotype" w:cstheme="minorBidi"/>
          <w:b/>
          <w:bCs/>
          <w:szCs w:val="24"/>
        </w:rPr>
        <w:t>The Effect of Liquid Asset Total Assets (LATA) on Share Price Growth</w:t>
      </w:r>
    </w:p>
    <w:p w14:paraId="5FAAB555" w14:textId="1ECD7C50" w:rsidR="003901BA" w:rsidRPr="00DB6E4E" w:rsidRDefault="000B431D"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The results indicate that the Liquid Assets Total Assets ratio has a positive and significant effect on stock price growth. Higher liquidity reflects a bank’s ability to meet short-term obligations and maintain operational stability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author":[{"dropping-particle":"","family":"Muhammad","given":"Natsir","non-dropping-particle":"","parse-names":false,"suffix":""},{"dropping-particle":"","family":"Taufik","given":"Imam","non-dropping-particle":"","parse-names":false,"suffix":""}],"id":"ITEM-1","issue":"3","issued":{"date-parts":[["2022"]]},"title":"Point of View Research Accounting and Auditing Effect of Profitability and Liquidity on Stock Prices","type":"article-journal","volume":"3"},"uris":["http://www.mendeley.com/documents/?uuid=75563ee3-83b5-4267-98ec-e3c1dbf3e7b5"]}],"mendeley":{"formattedCitation":"(Muhammad &amp; Taufik, 2022)","manualFormatting":"Muhammad &amp; Taufik, (2022)","plainTextFormattedCitation":"(Muhammad &amp; Taufik, 2022)","previouslyFormattedCitation":"(Muhammad &amp; Taufik, 2022)"},"properties":{"noteIndex":0},"schema":"https://github.com/citation-style-language/schema/raw/master/csl-citation.json"}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Muhammad &amp; Taufik, (2022)</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which reduces perceived risk, strengthens investor confidence, and increases demand for bank shares, leading to higher stock prices.</w:t>
      </w:r>
    </w:p>
    <w:p w14:paraId="58D356F6" w14:textId="35304092" w:rsidR="000B431D" w:rsidRPr="00DB6E4E" w:rsidRDefault="000B431D"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A high level of asset liquidity signals financial resilience and operational soundness, thereby enhancing investor trust. This condition encourages investment interest and contributes to an increase in bank stock prices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{"citationItems":[{"id":"ITEM-1","itemData":{"DOI":"10.56831/psen-02-055","abstract":"An efficient, functional banking system may catalyze rapid growth in numerous areas of the economy and is a critical prerequisite for a country’s progress, and India is no exception. This research study will investigate and compare the financial performance of South Indian Bank and HDFC Bank using the CAMEL Model. The purpose of this article is twofold: first, to examine South Indian Bank’s financial performance, and second, to compare South Indian Bank’s performance to that of HDFC Bank. The study utilizes secondary data from the banks’ annual reports over five years, from 2017-18 to 2021-22. The CAMEL Model is used as a framework for the analysis, comprising five dimensions - capital adequacy, asset quality, management quality, earnings, and liquidity. According to the study’s findings, both banks performed satisfactorily regarding capital sufficiency, managerial quality, and liquidity. However, regarding asset quality and earnings, HDFC Bank outperforms South Indian Bank. This research will help investors, stakeholders, and policymakers make informed judgments concerning these banks.","author":[{"dropping-particle":"","family":"Philip","given":"Bijin","non-dropping-particle":"","parse-names":false,"suffix":""}],"container-title":"PriMera Scientific Engineering","id":"ITEM-1","issue":"June","issued":{"date-parts":[["2023"]]},"title":"A Camel Analysis on the Performance of South Indian Bank","type":"article-journal"},"uris":["http://www.mendeley.com/documents/?uuid=e7b7e4e2-9295-49ff-a285-6c65545e7f16"]}],"mendeley":{"formattedCitation":"(Philip, 2023)","plainTextFormattedCitation":"(Philip, 2023)","previouslyFormattedCitation":"(Philip, 2023)"},"properties":{"noteIndex":0},"schema":"https://github.com/citation-style-language/schema/raw/master/csl-citation.json"}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 xml:space="preserve">(Philip, </w:t>
      </w:r>
      <w:r w:rsidR="009F5CC8" w:rsidRPr="00DB6E4E">
        <w:rPr>
          <w:rFonts w:ascii="Palatino Linotype" w:eastAsiaTheme="minorHAnsi" w:hAnsi="Palatino Linotype" w:cstheme="minorBidi"/>
          <w:noProof/>
          <w:szCs w:val="24"/>
          <w:lang w:val="id-ID"/>
        </w:rPr>
        <w:lastRenderedPageBreak/>
        <w:t>2023)</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w:t>
      </w:r>
    </w:p>
    <w:p w14:paraId="200F6F54" w14:textId="216DAB59" w:rsidR="000B431D" w:rsidRPr="00DB6E4E" w:rsidRDefault="000B431D" w:rsidP="00B920DA">
      <w:pPr>
        <w:widowControl w:val="0"/>
        <w:autoSpaceDE w:val="0"/>
        <w:autoSpaceDN w:val="0"/>
        <w:spacing w:after="0" w:line="240" w:lineRule="auto"/>
        <w:ind w:right="136"/>
        <w:contextualSpacing/>
        <w:rPr>
          <w:rFonts w:ascii="Palatino Linotype" w:eastAsiaTheme="minorHAnsi" w:hAnsi="Palatino Linotype" w:cstheme="minorBidi"/>
          <w:b/>
          <w:bCs/>
          <w:szCs w:val="24"/>
          <w:lang w:val="id-ID"/>
        </w:rPr>
      </w:pPr>
      <w:r w:rsidRPr="00DB6E4E">
        <w:rPr>
          <w:rFonts w:ascii="Palatino Linotype" w:eastAsiaTheme="minorHAnsi" w:hAnsi="Palatino Linotype" w:cstheme="minorBidi"/>
          <w:b/>
          <w:bCs/>
          <w:szCs w:val="24"/>
        </w:rPr>
        <w:t>The Effect of Bank Size (SIZE) on Share Price Growth</w:t>
      </w:r>
    </w:p>
    <w:p w14:paraId="51D19F51" w14:textId="53F3ED16" w:rsidR="003901BA" w:rsidRPr="00DB6E4E" w:rsidRDefault="000B431D"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The findings indicate that bank size has no significant effect on stock price growth. Consistent with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{"citationItems":[{"id":"ITEM-1","itemData":{"author":[{"dropping-particle":"","family":"Harori","given":"M Iqbal","non-dropping-particle":"","parse-names":false,"suffix":""}],"id":"ITEM-1","issued":{"date-parts":[["2020"]]},"title":"PENGARUH PRICE EARNING RATIO , PRICE CASH FLOW RATIO , PRICE SALES RATIO DAN UKURAN PERUSAHAAN TERHADAP RETURN SAHAM ( STUDI PADA PERUSAHAAN PERBANKAN YANG TERDAFTAR DI BEI PERIODE 2017-2020 ) EFFECT OF PRICE EARNING RATIO , PRICE CASH FLOW RATIO , PRICE SALES RATIO AND COMPANY SIZEON STOCK RETURN ( STUDY ON BANKING COMPANIES LISTED ON IDX FOR 2017-2020 PERIOD )","type":"article-journal","volume":"1"},"uris":["http://www.mendeley.com/documents/?uuid=46bc11e0-089e-4a03-95b6-faacf5945b09"]}],"mendeley":{"formattedCitation":"(Harori, 2020)","manualFormatting":"Harori, (2020)","plainTextFormattedCitation":"(Harori, 2020)","previouslyFormattedCitation":"(Harori, 2020)"},"properties":{"noteIndex":0},"schema":"https://github.com/citation-style-language/schema/raw/master/csl-citation.json"}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Harori, (2020)</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 this result suggests that firm size, commonly measured by total assets, is not a primary consideration for investors when making stock investment decisions, as size alone does not adequately predict future profitability or stock price appreciation.</w:t>
      </w:r>
    </w:p>
    <w:p w14:paraId="702D1447" w14:textId="20C8D076" w:rsidR="000B431D" w:rsidRPr="00DB6E4E" w:rsidRDefault="000B431D" w:rsidP="00B920DA">
      <w:pPr>
        <w:widowControl w:val="0"/>
        <w:autoSpaceDE w:val="0"/>
        <w:autoSpaceDN w:val="0"/>
        <w:spacing w:after="0" w:line="240" w:lineRule="auto"/>
        <w:ind w:right="136" w:firstLine="720"/>
        <w:contextualSpacing/>
        <w:rPr>
          <w:rFonts w:ascii="Palatino Linotype" w:eastAsiaTheme="minorHAnsi" w:hAnsi="Palatino Linotype" w:cstheme="minorBidi"/>
          <w:szCs w:val="24"/>
          <w:lang w:val="id-ID"/>
        </w:rPr>
      </w:pPr>
      <w:r w:rsidRPr="00DB6E4E">
        <w:rPr>
          <w:rFonts w:ascii="Palatino Linotype" w:eastAsiaTheme="minorHAnsi" w:hAnsi="Palatino Linotype" w:cstheme="minorBidi"/>
          <w:szCs w:val="24"/>
          <w:lang w:val="id-ID"/>
        </w:rPr>
        <w:t xml:space="preserve">Bank size is not the sole indicator of growth, and investors tend to focus more on how effectively assets are managed rather than their absolute level. Large asset holdings that are not efficiently utilized may fail to generate high profits, thereby limiting stock returns and reducing the relevance of bank size in investment evaluation </w:t>
      </w:r>
      <w:r w:rsidR="009F5CC8" w:rsidRPr="00DB6E4E">
        <w:rPr>
          <w:rFonts w:ascii="Palatino Linotype" w:eastAsiaTheme="minorHAnsi" w:hAnsi="Palatino Linotype" w:cstheme="minorBidi"/>
          <w:szCs w:val="24"/>
          <w:lang w:val="id-ID"/>
        </w:rPr>
        <w:fldChar w:fldCharType="begin" w:fldLock="1"/>
      </w:r>
      <w:r w:rsidR="009F5CC8" w:rsidRPr="00DB6E4E">
        <w:rPr>
          <w:rFonts w:ascii="Palatino Linotype" w:eastAsiaTheme="minorHAnsi" w:hAnsi="Palatino Linotype" w:cstheme="minorBidi"/>
          <w:szCs w:val="24"/>
          <w:lang w:val="id-ID"/>
        </w:rPr>
        <w:instrText>ADDIN CSL_CITATION {"citationItems":[{"id":"ITEM-1","itemData":{"author":[{"dropping-particle":"","family":"Harori","given":"M Iqbal","non-dropping-particle":"","parse-names":false,"suffix":""}],"id":"ITEM-1","issued":{"date-parts":[["2020"]]},"title":"PENGARUH PRICE EARNING RATIO , PRICE CASH FLOW RATIO , PRICE SALES RATIO DAN UKURAN PERUSAHAAN TERHADAP RETURN SAHAM ( STUDI PADA PERUSAHAAN PERBANKAN YANG TERDAFTAR DI BEI PERIODE 2017-2020 ) EFFECT OF PRICE EARNING RATIO , PRICE CASH FLOW RATIO , PRICE SALES RATIO AND COMPANY SIZEON STOCK RETURN ( STUDY ON BANKING COMPANIES LISTED ON IDX FOR 2017-2020 PERIOD )","type":"article-journal","volume":"1"},"uris":["http://www.mendeley.com/documents/?uuid=46bc11e0-089e-4a03-95b6-faacf5945b09"]}],"mendeley":{"formattedCitation":"(Harori, 2020)","plainTextFormattedCitation":"(Harori, 2020)","previouslyFormattedCitation":"(Harori, 2020)"},"properties":{"noteIndex":0},"schema":"https://github.com/citation-style-language/schema/raw/master/csl-citation.json"}</w:instrText>
      </w:r>
      <w:r w:rsidR="009F5CC8" w:rsidRPr="00DB6E4E">
        <w:rPr>
          <w:rFonts w:ascii="Palatino Linotype" w:eastAsiaTheme="minorHAnsi" w:hAnsi="Palatino Linotype" w:cstheme="minorBidi"/>
          <w:szCs w:val="24"/>
          <w:lang w:val="id-ID"/>
        </w:rPr>
        <w:fldChar w:fldCharType="separate"/>
      </w:r>
      <w:r w:rsidR="009F5CC8" w:rsidRPr="00DB6E4E">
        <w:rPr>
          <w:rFonts w:ascii="Palatino Linotype" w:eastAsiaTheme="minorHAnsi" w:hAnsi="Palatino Linotype" w:cstheme="minorBidi"/>
          <w:noProof/>
          <w:szCs w:val="24"/>
          <w:lang w:val="id-ID"/>
        </w:rPr>
        <w:t>(Harori, 2020)</w:t>
      </w:r>
      <w:r w:rsidR="009F5CC8" w:rsidRPr="00DB6E4E">
        <w:rPr>
          <w:rFonts w:ascii="Palatino Linotype" w:eastAsiaTheme="minorHAnsi" w:hAnsi="Palatino Linotype" w:cstheme="minorBidi"/>
          <w:szCs w:val="24"/>
          <w:lang w:val="id-ID"/>
        </w:rPr>
        <w:fldChar w:fldCharType="end"/>
      </w:r>
      <w:r w:rsidRPr="00DB6E4E">
        <w:rPr>
          <w:rFonts w:ascii="Palatino Linotype" w:eastAsiaTheme="minorHAnsi" w:hAnsi="Palatino Linotype" w:cstheme="minorBidi"/>
          <w:szCs w:val="24"/>
          <w:lang w:val="id-ID"/>
        </w:rPr>
        <w:t>.</w:t>
      </w:r>
    </w:p>
    <w:p w14:paraId="54D20829" w14:textId="77777777" w:rsidR="0085460A" w:rsidRPr="00DB6E4E" w:rsidRDefault="0085460A" w:rsidP="00B920DA">
      <w:pPr>
        <w:widowControl w:val="0"/>
        <w:autoSpaceDE w:val="0"/>
        <w:autoSpaceDN w:val="0"/>
        <w:spacing w:after="0" w:line="240" w:lineRule="auto"/>
        <w:ind w:right="136"/>
        <w:contextualSpacing/>
        <w:rPr>
          <w:rFonts w:ascii="Palatino Linotype" w:eastAsiaTheme="minorHAnsi" w:hAnsi="Palatino Linotype" w:cstheme="minorBidi"/>
          <w:szCs w:val="24"/>
          <w:lang w:val="id-ID"/>
        </w:rPr>
      </w:pPr>
    </w:p>
    <w:p w14:paraId="4A9A67D2" w14:textId="7F93668C" w:rsidR="00874299" w:rsidRPr="00DB6E4E" w:rsidRDefault="00874299" w:rsidP="00B920DA">
      <w:pPr>
        <w:widowControl w:val="0"/>
        <w:autoSpaceDE w:val="0"/>
        <w:autoSpaceDN w:val="0"/>
        <w:spacing w:after="0" w:line="240" w:lineRule="auto"/>
        <w:ind w:right="136"/>
        <w:contextualSpacing/>
        <w:rPr>
          <w:rFonts w:ascii="Palatino Linotype" w:hAnsi="Palatino Linotype" w:cs="Times New Roman"/>
          <w:b/>
          <w:bCs/>
          <w:szCs w:val="24"/>
          <w:lang w:val="en-ID"/>
        </w:rPr>
      </w:pPr>
      <w:r w:rsidRPr="00DB6E4E">
        <w:rPr>
          <w:rFonts w:ascii="Palatino Linotype" w:hAnsi="Palatino Linotype" w:cs="Times New Roman"/>
          <w:b/>
          <w:bCs/>
          <w:szCs w:val="24"/>
          <w:lang w:val="en-ID"/>
        </w:rPr>
        <w:t>CONCLUSION</w:t>
      </w:r>
    </w:p>
    <w:p w14:paraId="7090A5EA" w14:textId="495321A7" w:rsidR="000B431D" w:rsidRPr="00DB6E4E" w:rsidRDefault="000B431D" w:rsidP="00B920DA">
      <w:pPr>
        <w:widowControl w:val="0"/>
        <w:autoSpaceDE w:val="0"/>
        <w:autoSpaceDN w:val="0"/>
        <w:spacing w:after="0" w:line="240" w:lineRule="auto"/>
        <w:ind w:right="136" w:firstLine="720"/>
        <w:contextualSpacing/>
        <w:rPr>
          <w:rFonts w:ascii="Palatino Linotype" w:hAnsi="Palatino Linotype" w:cs="Times New Roman"/>
          <w:szCs w:val="24"/>
          <w:lang w:val="en-ID"/>
        </w:rPr>
      </w:pPr>
      <w:r w:rsidRPr="00DB6E4E">
        <w:rPr>
          <w:rFonts w:ascii="Palatino Linotype" w:hAnsi="Palatino Linotype" w:cs="Times New Roman"/>
          <w:szCs w:val="24"/>
          <w:lang w:val="en-ID"/>
        </w:rPr>
        <w:t>This study examines the impact of CAR, NNPA, CASA, NIM, LATA, and Bank Size on stock price growth of banks listed on the Indonesia Stock Exchange during 2020–2024. Using panel data analysis, the results reveal that among the examined variables, only profitability and liquidity indicators significantly influence stock price movements.</w:t>
      </w:r>
    </w:p>
    <w:p w14:paraId="63A78C78" w14:textId="153EDD6F" w:rsidR="000B431D" w:rsidRPr="00DB6E4E" w:rsidRDefault="000B431D" w:rsidP="00B920DA">
      <w:pPr>
        <w:widowControl w:val="0"/>
        <w:autoSpaceDE w:val="0"/>
        <w:autoSpaceDN w:val="0"/>
        <w:spacing w:after="0" w:line="240" w:lineRule="auto"/>
        <w:ind w:right="136" w:firstLine="720"/>
        <w:contextualSpacing/>
        <w:rPr>
          <w:rFonts w:ascii="Palatino Linotype" w:hAnsi="Palatino Linotype" w:cs="Times New Roman"/>
          <w:szCs w:val="24"/>
          <w:lang w:val="en-ID"/>
        </w:rPr>
      </w:pPr>
      <w:r w:rsidRPr="00DB6E4E">
        <w:rPr>
          <w:rFonts w:ascii="Palatino Linotype" w:hAnsi="Palatino Linotype" w:cs="Times New Roman"/>
          <w:szCs w:val="24"/>
          <w:lang w:val="en-ID"/>
        </w:rPr>
        <w:t>The findings show that CAR, NNPA, CASA, and Bank Size have no significant effect on stock price growth, indicating that capital adequacy, asset quality, funding structure, and firm size are not primary considerations in investor valuation. In contrast, Net Interest Margin (NIM) and Liquid Assets to Total Assets (LATA) have a positive and significant effect on stock price growth, reflecting the importance of efficient intermediation and strong liquidity in enhancing investor confidence and market valuation.</w:t>
      </w:r>
    </w:p>
    <w:p w14:paraId="663FDF3C" w14:textId="2DC4C91D" w:rsidR="000B431D" w:rsidRPr="00DB6E4E" w:rsidRDefault="000B431D" w:rsidP="00B920DA">
      <w:pPr>
        <w:widowControl w:val="0"/>
        <w:autoSpaceDE w:val="0"/>
        <w:autoSpaceDN w:val="0"/>
        <w:spacing w:after="0" w:line="240" w:lineRule="auto"/>
        <w:ind w:right="136" w:firstLine="720"/>
        <w:contextualSpacing/>
        <w:rPr>
          <w:rFonts w:ascii="Palatino Linotype" w:hAnsi="Palatino Linotype" w:cs="Times New Roman"/>
          <w:szCs w:val="24"/>
          <w:lang w:val="en-ID"/>
        </w:rPr>
      </w:pPr>
      <w:r w:rsidRPr="00DB6E4E">
        <w:rPr>
          <w:rFonts w:ascii="Palatino Linotype" w:hAnsi="Palatino Linotype" w:cs="Times New Roman"/>
          <w:szCs w:val="24"/>
          <w:lang w:val="en-ID"/>
        </w:rPr>
        <w:t>Overall, the results suggest that investors place greater emphasis on banks’ ability to generate profits and maintain liquidity rather than on capital strength, asset risk, or organizational scale. This study provides empirical evidence from the Indonesian banking sector and contributes to a clearer understanding of the financial performance indicators that are most relevant to stock price growth.</w:t>
      </w:r>
    </w:p>
    <w:p w14:paraId="060B943D" w14:textId="77777777" w:rsidR="000B431D" w:rsidRPr="00DB6E4E" w:rsidRDefault="000B431D" w:rsidP="00DB6E4E">
      <w:pPr>
        <w:widowControl w:val="0"/>
        <w:autoSpaceDE w:val="0"/>
        <w:autoSpaceDN w:val="0"/>
        <w:spacing w:after="120" w:line="240" w:lineRule="auto"/>
        <w:ind w:right="136"/>
        <w:contextualSpacing/>
        <w:rPr>
          <w:rFonts w:ascii="Palatino Linotype" w:hAnsi="Palatino Linotype" w:cs="Times New Roman"/>
          <w:b/>
          <w:bCs/>
          <w:szCs w:val="24"/>
          <w:lang w:val="en-ID"/>
        </w:rPr>
      </w:pPr>
    </w:p>
    <w:p w14:paraId="77C2A43B" w14:textId="0D227721" w:rsidR="00444287" w:rsidRPr="00DB6E4E" w:rsidRDefault="00874299" w:rsidP="00DB6E4E">
      <w:pPr>
        <w:spacing w:after="120" w:line="240" w:lineRule="auto"/>
        <w:contextualSpacing/>
        <w:jc w:val="lowKashida"/>
        <w:rPr>
          <w:rFonts w:ascii="Palatino Linotype" w:hAnsi="Palatino Linotype" w:cs="Times New Roman"/>
          <w:b/>
          <w:bCs/>
          <w:szCs w:val="24"/>
          <w:lang w:val="en-ID"/>
        </w:rPr>
      </w:pPr>
      <w:r w:rsidRPr="00DB6E4E">
        <w:rPr>
          <w:rFonts w:ascii="Palatino Linotype" w:hAnsi="Palatino Linotype" w:cs="Times New Roman"/>
          <w:b/>
          <w:bCs/>
          <w:szCs w:val="24"/>
          <w:lang w:val="en-ID"/>
        </w:rPr>
        <w:t>REFERENCES</w:t>
      </w:r>
    </w:p>
    <w:p w14:paraId="31A3507F" w14:textId="12C21282"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eastAsia="Arial" w:hAnsi="Palatino Linotype" w:cstheme="majorBidi"/>
          <w:b/>
          <w:color w:val="000000"/>
          <w:szCs w:val="24"/>
        </w:rPr>
        <w:fldChar w:fldCharType="begin" w:fldLock="1"/>
      </w:r>
      <w:r w:rsidRPr="00B920DA">
        <w:rPr>
          <w:rFonts w:ascii="Palatino Linotype" w:eastAsia="Arial" w:hAnsi="Palatino Linotype" w:cstheme="majorBidi"/>
          <w:b/>
          <w:color w:val="000000"/>
          <w:szCs w:val="24"/>
        </w:rPr>
        <w:instrText xml:space="preserve">ADDIN Mendeley Bibliography CSL_BIBLIOGRAPHY </w:instrText>
      </w:r>
      <w:r w:rsidRPr="00B920DA">
        <w:rPr>
          <w:rFonts w:ascii="Palatino Linotype" w:eastAsia="Arial" w:hAnsi="Palatino Linotype" w:cstheme="majorBidi"/>
          <w:b/>
          <w:color w:val="000000"/>
          <w:szCs w:val="24"/>
        </w:rPr>
        <w:fldChar w:fldCharType="separate"/>
      </w:r>
      <w:r w:rsidRPr="00B920DA">
        <w:rPr>
          <w:rFonts w:ascii="Palatino Linotype" w:hAnsi="Palatino Linotype"/>
          <w:szCs w:val="24"/>
        </w:rPr>
        <w:t xml:space="preserve"> </w:t>
      </w:r>
      <w:r w:rsidRPr="00B920DA">
        <w:rPr>
          <w:rFonts w:ascii="Palatino Linotype" w:hAnsi="Palatino Linotype" w:cs="Times New Roman"/>
          <w:noProof/>
          <w:szCs w:val="24"/>
        </w:rPr>
        <w:t xml:space="preserve">Aiman, S, S. (2024). An Empirical Study of the Impact of Non-performing Assets on Bank Shareholder Value and Investor Confidence. </w:t>
      </w:r>
      <w:r w:rsidRPr="00B920DA">
        <w:rPr>
          <w:rFonts w:ascii="Palatino Linotype" w:hAnsi="Palatino Linotype" w:cs="Times New Roman"/>
          <w:i/>
          <w:iCs/>
          <w:noProof/>
          <w:szCs w:val="24"/>
        </w:rPr>
        <w:t>International Journal For Multidisciplinary</w:t>
      </w:r>
      <w:r w:rsidR="00CD6EA2" w:rsidRPr="00B920DA">
        <w:rPr>
          <w:rFonts w:ascii="Palatino Linotype" w:hAnsi="Palatino Linotype" w:cs="Times New Roman"/>
          <w:i/>
          <w:iCs/>
          <w:noProof/>
          <w:szCs w:val="24"/>
        </w:rPr>
        <w:t xml:space="preserve"> </w:t>
      </w:r>
      <w:r w:rsidRPr="00B920DA">
        <w:rPr>
          <w:rFonts w:ascii="Palatino Linotype" w:hAnsi="Palatino Linotype" w:cs="Times New Roman"/>
          <w:i/>
          <w:iCs/>
          <w:noProof/>
          <w:szCs w:val="24"/>
        </w:rPr>
        <w:t>Research</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6</w:t>
      </w:r>
      <w:r w:rsidRPr="00B920DA">
        <w:rPr>
          <w:rFonts w:ascii="Palatino Linotype" w:hAnsi="Palatino Linotype" w:cs="Times New Roman"/>
          <w:noProof/>
          <w:szCs w:val="24"/>
        </w:rPr>
        <w:t>(4). https://doi.org/10.36948/ijfmr.2024.v06i04.25067</w:t>
      </w:r>
    </w:p>
    <w:p w14:paraId="6153E7DC"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lastRenderedPageBreak/>
        <w:t xml:space="preserve">Abedifar, P., Bouslah, K., &amp; Zheng, Y. (2021). Stock price synchronicity and price informativeness: Evidence from a regulatory change in the U.S. banking industry. </w:t>
      </w:r>
      <w:r w:rsidRPr="00B920DA">
        <w:rPr>
          <w:rFonts w:ascii="Palatino Linotype" w:hAnsi="Palatino Linotype" w:cs="Times New Roman"/>
          <w:i/>
          <w:iCs/>
          <w:noProof/>
          <w:szCs w:val="24"/>
        </w:rPr>
        <w:t>Finance Research Letters</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40</w:t>
      </w:r>
      <w:r w:rsidRPr="00B920DA">
        <w:rPr>
          <w:rFonts w:ascii="Palatino Linotype" w:hAnsi="Palatino Linotype" w:cs="Times New Roman"/>
          <w:noProof/>
          <w:szCs w:val="24"/>
        </w:rPr>
        <w:t>(June), 101678. https://doi.org/10.1016/j.frl.2020.101678</w:t>
      </w:r>
    </w:p>
    <w:p w14:paraId="6AF2C6F3"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Alfretdo, E., &amp; Nasution, F. (2021). Analisis Pengaruh Kinerja Perbankan Terhadap Harga Saham (Studi Empiris Pada Industri Perbankan Yang Terdaftar Dibursa Efek Indonesia Pada Tahun 2012 – 2015). </w:t>
      </w:r>
      <w:r w:rsidRPr="00B920DA">
        <w:rPr>
          <w:rFonts w:ascii="Palatino Linotype" w:hAnsi="Palatino Linotype" w:cs="Times New Roman"/>
          <w:i/>
          <w:iCs/>
          <w:noProof/>
          <w:szCs w:val="24"/>
        </w:rPr>
        <w:t>Jurnal Akuntansi Dan Perpajakan Jayakarta</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2</w:t>
      </w:r>
      <w:r w:rsidRPr="00B920DA">
        <w:rPr>
          <w:rFonts w:ascii="Palatino Linotype" w:hAnsi="Palatino Linotype" w:cs="Times New Roman"/>
          <w:noProof/>
          <w:szCs w:val="24"/>
        </w:rPr>
        <w:t>(2), 124–145. https://doi.org/10.53825/japjayakarta.v2i2.75</w:t>
      </w:r>
    </w:p>
    <w:p w14:paraId="7EC744EB"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Banu, M., &amp; Vepa, S. (2021). A Financial Performance of Indian Banks Using CAMELS Rating System. </w:t>
      </w:r>
      <w:r w:rsidRPr="00B920DA">
        <w:rPr>
          <w:rFonts w:ascii="Palatino Linotype" w:hAnsi="Palatino Linotype" w:cs="Times New Roman"/>
          <w:i/>
          <w:iCs/>
          <w:noProof/>
          <w:szCs w:val="24"/>
        </w:rPr>
        <w:t>Journal of Contemporary Issues in Business and Government</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27</w:t>
      </w:r>
      <w:r w:rsidRPr="00B920DA">
        <w:rPr>
          <w:rFonts w:ascii="Palatino Linotype" w:hAnsi="Palatino Linotype" w:cs="Times New Roman"/>
          <w:noProof/>
          <w:szCs w:val="24"/>
        </w:rPr>
        <w:t>(1), 2135–2153. https://cibg.org.au/</w:t>
      </w:r>
    </w:p>
    <w:p w14:paraId="3DABFA43"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Broby, D. (2021). Financial technology and the future of banking. </w:t>
      </w:r>
      <w:r w:rsidRPr="00B920DA">
        <w:rPr>
          <w:rFonts w:ascii="Palatino Linotype" w:hAnsi="Palatino Linotype" w:cs="Times New Roman"/>
          <w:i/>
          <w:iCs/>
          <w:noProof/>
          <w:szCs w:val="24"/>
        </w:rPr>
        <w:t>Financial Innovation</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7</w:t>
      </w:r>
      <w:r w:rsidRPr="00B920DA">
        <w:rPr>
          <w:rFonts w:ascii="Palatino Linotype" w:hAnsi="Palatino Linotype" w:cs="Times New Roman"/>
          <w:noProof/>
          <w:szCs w:val="24"/>
        </w:rPr>
        <w:t>(1). https://doi.org/10.1186/s40854-021-00264-y</w:t>
      </w:r>
    </w:p>
    <w:p w14:paraId="09AC9ECE"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Doan, T. T. T., &amp; Bui, T. N. (2021). How does liquidity influence bank profitability? A panel data approach. </w:t>
      </w:r>
      <w:r w:rsidRPr="00B920DA">
        <w:rPr>
          <w:rFonts w:ascii="Palatino Linotype" w:hAnsi="Palatino Linotype" w:cs="Times New Roman"/>
          <w:i/>
          <w:iCs/>
          <w:noProof/>
          <w:szCs w:val="24"/>
        </w:rPr>
        <w:t>Accounting</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7</w:t>
      </w:r>
      <w:r w:rsidRPr="00B920DA">
        <w:rPr>
          <w:rFonts w:ascii="Palatino Linotype" w:hAnsi="Palatino Linotype" w:cs="Times New Roman"/>
          <w:noProof/>
          <w:szCs w:val="24"/>
        </w:rPr>
        <w:t>(1), 59–64. https://doi.org/10.5267/j.ac.2020.10.014</w:t>
      </w:r>
    </w:p>
    <w:p w14:paraId="3E54FCBC"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Firmansyah, I. (2022). </w:t>
      </w:r>
      <w:r w:rsidRPr="00B920DA">
        <w:rPr>
          <w:rFonts w:ascii="Palatino Linotype" w:hAnsi="Palatino Linotype" w:cs="Times New Roman"/>
          <w:i/>
          <w:iCs/>
          <w:noProof/>
          <w:szCs w:val="24"/>
        </w:rPr>
        <w:t>The Impact of Profitability , Leverage and Non-Performing Loan on Banking Stock Return</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2</w:t>
      </w:r>
      <w:r w:rsidRPr="00B920DA">
        <w:rPr>
          <w:rFonts w:ascii="Palatino Linotype" w:hAnsi="Palatino Linotype" w:cs="Times New Roman"/>
          <w:noProof/>
          <w:szCs w:val="24"/>
        </w:rPr>
        <w:t>(1).</w:t>
      </w:r>
    </w:p>
    <w:p w14:paraId="5D707F1A"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Freddy, &amp; Toni, N. (2020). The Effect of Return on Equity , Net Interest Margin , Loan to Funding Ratio , Capital Adequacy Ratio , Debt to Equity Ratio and Non Performing Loan on Price to Book Value in Banking Industry Listed on the Indonesia Stock Exchange. </w:t>
      </w:r>
      <w:r w:rsidRPr="00B920DA">
        <w:rPr>
          <w:rFonts w:ascii="Palatino Linotype" w:hAnsi="Palatino Linotype" w:cs="Times New Roman"/>
          <w:i/>
          <w:iCs/>
          <w:noProof/>
          <w:szCs w:val="24"/>
        </w:rPr>
        <w:t>International Journal of Research and Review</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7</w:t>
      </w:r>
      <w:r w:rsidRPr="00B920DA">
        <w:rPr>
          <w:rFonts w:ascii="Palatino Linotype" w:hAnsi="Palatino Linotype" w:cs="Times New Roman"/>
          <w:noProof/>
          <w:szCs w:val="24"/>
        </w:rPr>
        <w:t>(9), 242.</w:t>
      </w:r>
    </w:p>
    <w:p w14:paraId="3FC8FB3C"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Gaur, D., &amp; Mohapatra, D. R. (2021). Non-performing Assets and Profitability: Case of Indian Banking Sector. </w:t>
      </w:r>
      <w:r w:rsidRPr="00B920DA">
        <w:rPr>
          <w:rFonts w:ascii="Palatino Linotype" w:hAnsi="Palatino Linotype" w:cs="Times New Roman"/>
          <w:i/>
          <w:iCs/>
          <w:noProof/>
          <w:szCs w:val="24"/>
        </w:rPr>
        <w:t>Vision</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25</w:t>
      </w:r>
      <w:r w:rsidRPr="00B920DA">
        <w:rPr>
          <w:rFonts w:ascii="Palatino Linotype" w:hAnsi="Palatino Linotype" w:cs="Times New Roman"/>
          <w:noProof/>
          <w:szCs w:val="24"/>
        </w:rPr>
        <w:t>(2), 180–191. https://doi.org/10.1177/0972262920914106</w:t>
      </w:r>
    </w:p>
    <w:p w14:paraId="1C5B1121"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Gazi, M. A. I., Nahiduzzaman, M., Harymawan, I., Al Masud, A., &amp; Dhar, B. K. (2022). Impact of COVID-19 on Financial Performance and Profitability of Banking Sector in Special Reference to Private Commercial Banks: Empirical Evidence from Bangladesh. </w:t>
      </w:r>
      <w:r w:rsidRPr="00B920DA">
        <w:rPr>
          <w:rFonts w:ascii="Palatino Linotype" w:hAnsi="Palatino Linotype" w:cs="Times New Roman"/>
          <w:i/>
          <w:iCs/>
          <w:noProof/>
          <w:szCs w:val="24"/>
        </w:rPr>
        <w:t>Sustainability (Switzerland)</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14</w:t>
      </w:r>
      <w:r w:rsidRPr="00B920DA">
        <w:rPr>
          <w:rFonts w:ascii="Palatino Linotype" w:hAnsi="Palatino Linotype" w:cs="Times New Roman"/>
          <w:noProof/>
          <w:szCs w:val="24"/>
        </w:rPr>
        <w:t>(10), 1–23. https://doi.org/10.3390/su14106260</w:t>
      </w:r>
    </w:p>
    <w:p w14:paraId="6CACDAC7"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Harori, M. I. (2020). </w:t>
      </w:r>
      <w:r w:rsidRPr="00B920DA">
        <w:rPr>
          <w:rFonts w:ascii="Palatino Linotype" w:hAnsi="Palatino Linotype" w:cs="Times New Roman"/>
          <w:i/>
          <w:iCs/>
          <w:noProof/>
          <w:szCs w:val="24"/>
        </w:rPr>
        <w:t xml:space="preserve">PENGARUH PRICE EARNING RATIO , PRICE CASH FLOW RATIO , PRICE SALES RATIO DAN UKURAN PERUSAHAAN TERHADAP RETURN SAHAM ( STUDI PADA PERUSAHAAN PERBANKAN YANG TERDAFTAR DI BEI PERIODE 2017-2020 ) EFFECT OF PRICE EARNING RATIO , PRICE CASH FLOW RATIO , PRICE SALES RATIO AND </w:t>
      </w:r>
      <w:r w:rsidRPr="00B920DA">
        <w:rPr>
          <w:rFonts w:ascii="Palatino Linotype" w:hAnsi="Palatino Linotype" w:cs="Times New Roman"/>
          <w:i/>
          <w:iCs/>
          <w:noProof/>
          <w:szCs w:val="24"/>
        </w:rPr>
        <w:lastRenderedPageBreak/>
        <w:t>COMPANY SIZEON STOCK RETURN ( STUDY ON BANKING COMPANIES LISTED ON IDX FOR 2017-2020 PERIOD )</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1</w:t>
      </w:r>
      <w:r w:rsidRPr="00B920DA">
        <w:rPr>
          <w:rFonts w:ascii="Palatino Linotype" w:hAnsi="Palatino Linotype" w:cs="Times New Roman"/>
          <w:noProof/>
          <w:szCs w:val="24"/>
        </w:rPr>
        <w:t>.</w:t>
      </w:r>
    </w:p>
    <w:p w14:paraId="3E52028C"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Hutapea, S. H. (2024). </w:t>
      </w:r>
      <w:r w:rsidRPr="00B920DA">
        <w:rPr>
          <w:rFonts w:ascii="Palatino Linotype" w:hAnsi="Palatino Linotype" w:cs="Times New Roman"/>
          <w:i/>
          <w:iCs/>
          <w:noProof/>
          <w:szCs w:val="24"/>
        </w:rPr>
        <w:t>International Journal of Current Science Research and Review The Interplay of Digital Maturity , Financial Performance , and Stock Returns in Indonesian Publicly Listed Banks</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07</w:t>
      </w:r>
      <w:r w:rsidRPr="00B920DA">
        <w:rPr>
          <w:rFonts w:ascii="Palatino Linotype" w:hAnsi="Palatino Linotype" w:cs="Times New Roman"/>
          <w:noProof/>
          <w:szCs w:val="24"/>
        </w:rPr>
        <w:t>(08), 6184–6189. https://doi.org/10.47191/ijcsrr/V7-i8-31</w:t>
      </w:r>
    </w:p>
    <w:p w14:paraId="6B38913E"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Ivansyah, D. F., &amp; Widagdo, B. (2025). </w:t>
      </w:r>
      <w:r w:rsidRPr="00B920DA">
        <w:rPr>
          <w:rFonts w:ascii="Palatino Linotype" w:hAnsi="Palatino Linotype" w:cs="Times New Roman"/>
          <w:i/>
          <w:iCs/>
          <w:noProof/>
          <w:szCs w:val="24"/>
        </w:rPr>
        <w:t>on Accounting Literature Impact of Interest Rates &amp; Capital Adequacy on Stock Returns</w:t>
      </w:r>
      <w:r w:rsidRPr="00B920DA">
        <w:rPr>
          <w:rFonts w:cs="Times New Roman"/>
          <w:i/>
          <w:iCs/>
          <w:noProof/>
          <w:szCs w:val="24"/>
        </w:rPr>
        <w:t> </w:t>
      </w:r>
      <w:r w:rsidRPr="00B920DA">
        <w:rPr>
          <w:rFonts w:ascii="Palatino Linotype" w:hAnsi="Palatino Linotype" w:cs="Times New Roman"/>
          <w:i/>
          <w:iCs/>
          <w:noProof/>
          <w:szCs w:val="24"/>
        </w:rPr>
        <w:t>: Profitability ’ s Role</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3</w:t>
      </w:r>
      <w:r w:rsidRPr="00B920DA">
        <w:rPr>
          <w:rFonts w:ascii="Palatino Linotype" w:hAnsi="Palatino Linotype" w:cs="Times New Roman"/>
          <w:noProof/>
          <w:szCs w:val="24"/>
        </w:rPr>
        <w:t>(1), 22–39. https://doi.org/10.22219/jameela.v3i1.37921</w:t>
      </w:r>
    </w:p>
    <w:p w14:paraId="7428F64D"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Journal, I., &amp; Analytics, B. (2025). </w:t>
      </w:r>
      <w:r w:rsidRPr="00B920DA">
        <w:rPr>
          <w:rFonts w:ascii="Palatino Linotype" w:hAnsi="Palatino Linotype" w:cs="Times New Roman"/>
          <w:i/>
          <w:iCs/>
          <w:noProof/>
          <w:szCs w:val="24"/>
        </w:rPr>
        <w:t>1* , 2 , 3 , 4</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5</w:t>
      </w:r>
      <w:r w:rsidRPr="00B920DA">
        <w:rPr>
          <w:rFonts w:ascii="Palatino Linotype" w:hAnsi="Palatino Linotype" w:cs="Times New Roman"/>
          <w:noProof/>
          <w:szCs w:val="24"/>
        </w:rPr>
        <w:t>(2), 2065–2082.</w:t>
      </w:r>
    </w:p>
    <w:p w14:paraId="627DCEB3"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Lestari, R. F. D., Susbiyani, A., &amp; Suharsono, R. S. (2024). The Effect of Capital Adequacy Ratio, Return on Asset, Loan to Deposit Ratio and Non Performing Loan on Stock Prices of Banking Companies Listed on the Indonesia Stock Exchange in the 2022 Period. </w:t>
      </w:r>
      <w:r w:rsidRPr="00B920DA">
        <w:rPr>
          <w:rFonts w:ascii="Palatino Linotype" w:hAnsi="Palatino Linotype" w:cs="Times New Roman"/>
          <w:i/>
          <w:iCs/>
          <w:noProof/>
          <w:szCs w:val="24"/>
        </w:rPr>
        <w:t>West Science Accounting and Finance</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2</w:t>
      </w:r>
      <w:r w:rsidRPr="00B920DA">
        <w:rPr>
          <w:rFonts w:ascii="Palatino Linotype" w:hAnsi="Palatino Linotype" w:cs="Times New Roman"/>
          <w:noProof/>
          <w:szCs w:val="24"/>
        </w:rPr>
        <w:t>(02), 212–224. https://doi.org/10.58812/wsaf.v2i02.1033</w:t>
      </w:r>
    </w:p>
    <w:p w14:paraId="0F6F8412"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Mahardika, M. H. (2025). </w:t>
      </w:r>
      <w:r w:rsidRPr="00B920DA">
        <w:rPr>
          <w:rFonts w:ascii="Palatino Linotype" w:hAnsi="Palatino Linotype" w:cs="Times New Roman"/>
          <w:i/>
          <w:iCs/>
          <w:noProof/>
          <w:szCs w:val="24"/>
        </w:rPr>
        <w:t>Analysis The Impact of Bank Fundamental Indicators ( ROA , NPM , DER , EPS , PER , CAR , NIM , BOPO , AND LDR ) on the Stock Returns of Indonesian State-Owned Banks for the Period</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4</w:t>
      </w:r>
      <w:r w:rsidRPr="00B920DA">
        <w:rPr>
          <w:rFonts w:ascii="Palatino Linotype" w:hAnsi="Palatino Linotype" w:cs="Times New Roman"/>
          <w:noProof/>
          <w:szCs w:val="24"/>
        </w:rPr>
        <w:t>(1), 67–79.</w:t>
      </w:r>
    </w:p>
    <w:p w14:paraId="442A4E40"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Muhammad, N., &amp; Taufik, I. (2022). </w:t>
      </w:r>
      <w:r w:rsidRPr="00B920DA">
        <w:rPr>
          <w:rFonts w:ascii="Palatino Linotype" w:hAnsi="Palatino Linotype" w:cs="Times New Roman"/>
          <w:i/>
          <w:iCs/>
          <w:noProof/>
          <w:szCs w:val="24"/>
        </w:rPr>
        <w:t>Point of View Research Accounting and Auditing Effect of Profitability and Liquidity on Stock Prices</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3</w:t>
      </w:r>
      <w:r w:rsidRPr="00B920DA">
        <w:rPr>
          <w:rFonts w:ascii="Palatino Linotype" w:hAnsi="Palatino Linotype" w:cs="Times New Roman"/>
          <w:noProof/>
          <w:szCs w:val="24"/>
        </w:rPr>
        <w:t>(3).</w:t>
      </w:r>
    </w:p>
    <w:p w14:paraId="2608D16E"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Murtopo, A. D. P., &amp; Setyawan, I. R. (2024). Effect of Loan Disbursement, Non-Performing Loan (NPL) and Current Account-Saving Account (CASA) Ratio on The Profitability of Digital Bank Listed on Indonesia Stock Exchange. </w:t>
      </w:r>
      <w:r w:rsidRPr="00B920DA">
        <w:rPr>
          <w:rFonts w:ascii="Palatino Linotype" w:hAnsi="Palatino Linotype" w:cs="Times New Roman"/>
          <w:i/>
          <w:iCs/>
          <w:noProof/>
          <w:szCs w:val="24"/>
        </w:rPr>
        <w:t>International Journal of Current Science Research and Review</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07</w:t>
      </w:r>
      <w:r w:rsidRPr="00B920DA">
        <w:rPr>
          <w:rFonts w:ascii="Palatino Linotype" w:hAnsi="Palatino Linotype" w:cs="Times New Roman"/>
          <w:noProof/>
          <w:szCs w:val="24"/>
        </w:rPr>
        <w:t>(12), 8749–8758. https://doi.org/10.47191/ijcsrr/v7-i12-12</w:t>
      </w:r>
    </w:p>
    <w:p w14:paraId="3B573D2E"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Nguyen, Q. T., Nguyen, L. D., &amp; Tran, T. H. M. (2024). The effects of bank-specific and macroeconomic determinants on CASA ratio of listed joint stock commercial banks in Vietnam. </w:t>
      </w:r>
      <w:r w:rsidRPr="00B920DA">
        <w:rPr>
          <w:rFonts w:ascii="Palatino Linotype" w:hAnsi="Palatino Linotype" w:cs="Times New Roman"/>
          <w:i/>
          <w:iCs/>
          <w:noProof/>
          <w:szCs w:val="24"/>
        </w:rPr>
        <w:t>Cogent Business and Management</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11</w:t>
      </w:r>
      <w:r w:rsidRPr="00B920DA">
        <w:rPr>
          <w:rFonts w:ascii="Palatino Linotype" w:hAnsi="Palatino Linotype" w:cs="Times New Roman"/>
          <w:noProof/>
          <w:szCs w:val="24"/>
        </w:rPr>
        <w:t>(1). https://doi.org/10.1080/23311975.2024.2436132</w:t>
      </w:r>
    </w:p>
    <w:p w14:paraId="1CD2EDD9"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Nugroho, M., Halik, A., &amp; Arif, D. (2020). Effect of CAMELS Ratio on Indonesia Banking Share Prices. </w:t>
      </w:r>
      <w:r w:rsidRPr="00B920DA">
        <w:rPr>
          <w:rFonts w:ascii="Palatino Linotype" w:hAnsi="Palatino Linotype" w:cs="Times New Roman"/>
          <w:i/>
          <w:iCs/>
          <w:noProof/>
          <w:szCs w:val="24"/>
        </w:rPr>
        <w:t>Journal of Asian Finance, Economics and Business</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7</w:t>
      </w:r>
      <w:r w:rsidRPr="00B920DA">
        <w:rPr>
          <w:rFonts w:ascii="Palatino Linotype" w:hAnsi="Palatino Linotype" w:cs="Times New Roman"/>
          <w:noProof/>
          <w:szCs w:val="24"/>
        </w:rPr>
        <w:t>(11), 101–106. https://doi.org/10.13106/jafeb.2020.vol7.no11.101</w:t>
      </w:r>
    </w:p>
    <w:p w14:paraId="62FB5308"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Obadire, A. M., &amp; Moyo, V. (2023). </w:t>
      </w:r>
      <w:r w:rsidRPr="00B920DA">
        <w:rPr>
          <w:rFonts w:ascii="Palatino Linotype" w:hAnsi="Palatino Linotype" w:cs="Times New Roman"/>
          <w:i/>
          <w:iCs/>
          <w:noProof/>
          <w:szCs w:val="24"/>
        </w:rPr>
        <w:t>An Empirical Analysis of the Dynamics Influencing Bank Capital Structure in Africa</w:t>
      </w:r>
      <w:r w:rsidRPr="00B920DA">
        <w:rPr>
          <w:rFonts w:ascii="Palatino Linotype" w:hAnsi="Palatino Linotype" w:cs="Times New Roman"/>
          <w:noProof/>
          <w:szCs w:val="24"/>
        </w:rPr>
        <w:t>.</w:t>
      </w:r>
    </w:p>
    <w:p w14:paraId="5EAD3265"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Philip, B. (2023). A Camel Analysis on the Performance of South Indian Bank. </w:t>
      </w:r>
      <w:r w:rsidRPr="00B920DA">
        <w:rPr>
          <w:rFonts w:ascii="Palatino Linotype" w:hAnsi="Palatino Linotype" w:cs="Times New Roman"/>
          <w:i/>
          <w:iCs/>
          <w:noProof/>
          <w:szCs w:val="24"/>
        </w:rPr>
        <w:t>PriMera Scientific Engineering</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June</w:t>
      </w:r>
      <w:r w:rsidRPr="00B920DA">
        <w:rPr>
          <w:rFonts w:ascii="Palatino Linotype" w:hAnsi="Palatino Linotype" w:cs="Times New Roman"/>
          <w:noProof/>
          <w:szCs w:val="24"/>
        </w:rPr>
        <w:t>. https://doi.org/10.56831/psen-02-055</w:t>
      </w:r>
    </w:p>
    <w:p w14:paraId="35733A63"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Pratama, M. J., Yusnita, R. T., &amp; Lestari, S. P. (2024). </w:t>
      </w:r>
      <w:r w:rsidRPr="00B920DA">
        <w:rPr>
          <w:rFonts w:ascii="Palatino Linotype" w:hAnsi="Palatino Linotype" w:cs="Times New Roman"/>
          <w:i/>
          <w:iCs/>
          <w:noProof/>
          <w:szCs w:val="24"/>
        </w:rPr>
        <w:t xml:space="preserve">Analysis Of Current Ratio And Debt To Equity On Return On Equity ( Case Study of a Pulp and Paper Sub-Sector </w:t>
      </w:r>
      <w:r w:rsidRPr="00B920DA">
        <w:rPr>
          <w:rFonts w:ascii="Palatino Linotype" w:hAnsi="Palatino Linotype" w:cs="Times New Roman"/>
          <w:i/>
          <w:iCs/>
          <w:noProof/>
          <w:szCs w:val="24"/>
        </w:rPr>
        <w:lastRenderedPageBreak/>
        <w:t>Company for the 2017- 2022 Period ) Analisis Current Ratio Dan Debt To Equity Terhadap Return On Equity ( Studi Kasus pada Perusahaan Sub Sektor Pulp dan Kertas Periode</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3</w:t>
      </w:r>
      <w:r w:rsidRPr="00B920DA">
        <w:rPr>
          <w:rFonts w:ascii="Palatino Linotype" w:hAnsi="Palatino Linotype" w:cs="Times New Roman"/>
          <w:noProof/>
          <w:szCs w:val="24"/>
        </w:rPr>
        <w:t>(2), 297–312.</w:t>
      </w:r>
    </w:p>
    <w:p w14:paraId="2093BECF"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Rubaiyath, A., &amp; Lalon, R. M. (2022). Investigating the Impact of Bank-specific Determinants on Stock Price of Listed Commercial Banks: Evidence from Emerging Economy. </w:t>
      </w:r>
      <w:r w:rsidRPr="00B920DA">
        <w:rPr>
          <w:rFonts w:ascii="Palatino Linotype" w:hAnsi="Palatino Linotype" w:cs="Times New Roman"/>
          <w:i/>
          <w:iCs/>
          <w:noProof/>
          <w:szCs w:val="24"/>
        </w:rPr>
        <w:t>International Journal of Economics and Financial Issues</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13</w:t>
      </w:r>
      <w:r w:rsidRPr="00B920DA">
        <w:rPr>
          <w:rFonts w:ascii="Palatino Linotype" w:hAnsi="Palatino Linotype" w:cs="Times New Roman"/>
          <w:noProof/>
          <w:szCs w:val="24"/>
        </w:rPr>
        <w:t>(4), 134–142. https://doi.org/10.32479/ijefi.14654</w:t>
      </w:r>
    </w:p>
    <w:p w14:paraId="5F0BD2AE"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Sar, A., &amp; Panigrahi, K. (2025). The dynamics of financial performance and market performance in the context of Indian banking industry. </w:t>
      </w:r>
      <w:r w:rsidRPr="00B920DA">
        <w:rPr>
          <w:rFonts w:ascii="Palatino Linotype" w:hAnsi="Palatino Linotype" w:cs="Times New Roman"/>
          <w:i/>
          <w:iCs/>
          <w:noProof/>
          <w:szCs w:val="24"/>
        </w:rPr>
        <w:t>F1000Research</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13</w:t>
      </w:r>
      <w:r w:rsidRPr="00B920DA">
        <w:rPr>
          <w:rFonts w:ascii="Palatino Linotype" w:hAnsi="Palatino Linotype" w:cs="Times New Roman"/>
          <w:noProof/>
          <w:szCs w:val="24"/>
        </w:rPr>
        <w:t>. https://doi.org/10.12688/f1000research.151628.2</w:t>
      </w:r>
    </w:p>
    <w:p w14:paraId="639E41FD"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Sebayang, P. (2020). The Impact of the Capital Adequacy Ratio, Non-Performing Loan Against to Return on Equity (Case Study Private Bank in Indonesia). </w:t>
      </w:r>
      <w:r w:rsidRPr="00B920DA">
        <w:rPr>
          <w:rFonts w:ascii="Palatino Linotype" w:hAnsi="Palatino Linotype" w:cs="Times New Roman"/>
          <w:i/>
          <w:iCs/>
          <w:noProof/>
          <w:szCs w:val="24"/>
        </w:rPr>
        <w:t>SHS Web of Conferences</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76</w:t>
      </w:r>
      <w:r w:rsidRPr="00B920DA">
        <w:rPr>
          <w:rFonts w:ascii="Palatino Linotype" w:hAnsi="Palatino Linotype" w:cs="Times New Roman"/>
          <w:noProof/>
          <w:szCs w:val="24"/>
        </w:rPr>
        <w:t>, 01035. https://doi.org/10.1051/shsconf/20207601035</w:t>
      </w:r>
    </w:p>
    <w:p w14:paraId="49566C83"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Sharma, S., Bhardwaj, I., &amp; Kishore, K. (2023). Capturing the impact of accounting and regulatory variables on stock prices of banks – an empirical study of Indian banks in panel data modeling. </w:t>
      </w:r>
      <w:r w:rsidRPr="00B920DA">
        <w:rPr>
          <w:rFonts w:ascii="Palatino Linotype" w:hAnsi="Palatino Linotype" w:cs="Times New Roman"/>
          <w:i/>
          <w:iCs/>
          <w:noProof/>
          <w:szCs w:val="24"/>
        </w:rPr>
        <w:t>Asian Journal of Accounting Research</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8</w:t>
      </w:r>
      <w:r w:rsidRPr="00B920DA">
        <w:rPr>
          <w:rFonts w:ascii="Palatino Linotype" w:hAnsi="Palatino Linotype" w:cs="Times New Roman"/>
          <w:noProof/>
          <w:szCs w:val="24"/>
        </w:rPr>
        <w:t>(2), 184–193. https://doi.org/10.1108/AJAR-11-2020-0110</w:t>
      </w:r>
    </w:p>
    <w:p w14:paraId="138DC31F"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Syahid, A. M., Pitriana, I., &amp; Lestari, H. S. (2024). Internal and External Determinants of Banking Stock Performance: Evidence From The Indonesia Stock Exchange. </w:t>
      </w:r>
      <w:r w:rsidRPr="00B920DA">
        <w:rPr>
          <w:rFonts w:ascii="Palatino Linotype" w:hAnsi="Palatino Linotype" w:cs="Times New Roman"/>
          <w:i/>
          <w:iCs/>
          <w:noProof/>
          <w:szCs w:val="24"/>
        </w:rPr>
        <w:t>Jurnal Ilmiah Manajemen Kesatuan</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12</w:t>
      </w:r>
      <w:r w:rsidRPr="00B920DA">
        <w:rPr>
          <w:rFonts w:ascii="Palatino Linotype" w:hAnsi="Palatino Linotype" w:cs="Times New Roman"/>
          <w:noProof/>
          <w:szCs w:val="24"/>
        </w:rPr>
        <w:t>(6), 2267–2276. https://doi.org/10.37641/jimkes.v12i6.2916</w:t>
      </w:r>
    </w:p>
    <w:p w14:paraId="40833475"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Tahu, G. P., Luh, N., Saputri, G., Ngr, I. G., &amp; Gunadi, B. (2023). </w:t>
      </w:r>
      <w:r w:rsidRPr="00B920DA">
        <w:rPr>
          <w:rFonts w:ascii="Palatino Linotype" w:hAnsi="Palatino Linotype" w:cs="Times New Roman"/>
          <w:i/>
          <w:iCs/>
          <w:noProof/>
          <w:szCs w:val="24"/>
        </w:rPr>
        <w:t>The Influence of Capital Adequacy Ratio ( CAR ), Non-Performing Loan ( NPL ), and Loan to Deposit Ratio ( LDR ) on Profitability in Banking Companies on the Indonesia Stock Exchange</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06</w:t>
      </w:r>
      <w:r w:rsidRPr="00B920DA">
        <w:rPr>
          <w:rFonts w:ascii="Palatino Linotype" w:hAnsi="Palatino Linotype" w:cs="Times New Roman"/>
          <w:noProof/>
          <w:szCs w:val="24"/>
        </w:rPr>
        <w:t>(01), 184–192. https://doi.org/10.47191/ijmra/v6-i1-23</w:t>
      </w:r>
    </w:p>
    <w:p w14:paraId="04804F30"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Widyakto, A., Rinawati, T., &amp; Widyarti, E. T. (2023). </w:t>
      </w:r>
      <w:r w:rsidRPr="00B920DA">
        <w:rPr>
          <w:rFonts w:ascii="Palatino Linotype" w:hAnsi="Palatino Linotype" w:cs="Times New Roman"/>
          <w:i/>
          <w:iCs/>
          <w:noProof/>
          <w:szCs w:val="24"/>
        </w:rPr>
        <w:t>The effect of return on assets , return on equity and net interest margin on stock prices in banking companies listed on the Indonesia Stock Exchange for the 2017-2021 period</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32</w:t>
      </w:r>
      <w:r w:rsidRPr="00B920DA">
        <w:rPr>
          <w:rFonts w:ascii="Palatino Linotype" w:hAnsi="Palatino Linotype" w:cs="Times New Roman"/>
          <w:noProof/>
          <w:szCs w:val="24"/>
        </w:rPr>
        <w:t>(1), 79–91.</w:t>
      </w:r>
    </w:p>
    <w:p w14:paraId="496AA061" w14:textId="77777777" w:rsidR="009F5CC8"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Yasar, B., Martin, T., &amp; Kiessling, T. (2020). </w:t>
      </w:r>
      <w:r w:rsidRPr="00B920DA">
        <w:rPr>
          <w:rFonts w:ascii="Palatino Linotype" w:hAnsi="Palatino Linotype" w:cs="Times New Roman"/>
          <w:i/>
          <w:iCs/>
          <w:noProof/>
          <w:szCs w:val="24"/>
        </w:rPr>
        <w:t>An empirical test of signalling theory theory</w:t>
      </w:r>
      <w:r w:rsidRPr="00B920DA">
        <w:rPr>
          <w:rFonts w:ascii="Palatino Linotype" w:hAnsi="Palatino Linotype" w:cs="Times New Roman"/>
          <w:noProof/>
          <w:szCs w:val="24"/>
        </w:rPr>
        <w:t>. https://doi.org/10.1108/MRR-08-2019-0338</w:t>
      </w:r>
    </w:p>
    <w:p w14:paraId="0A1AB738" w14:textId="77777777" w:rsidR="00B920DA" w:rsidRPr="00B920DA" w:rsidRDefault="009F5CC8" w:rsidP="00B920DA">
      <w:pPr>
        <w:widowControl w:val="0"/>
        <w:autoSpaceDE w:val="0"/>
        <w:autoSpaceDN w:val="0"/>
        <w:adjustRightInd w:val="0"/>
        <w:spacing w:after="0" w:line="240" w:lineRule="auto"/>
        <w:ind w:left="567" w:hanging="567"/>
        <w:contextualSpacing/>
        <w:rPr>
          <w:rFonts w:ascii="Palatino Linotype" w:hAnsi="Palatino Linotype" w:cs="Times New Roman"/>
          <w:noProof/>
          <w:szCs w:val="24"/>
        </w:rPr>
      </w:pPr>
      <w:r w:rsidRPr="00B920DA">
        <w:rPr>
          <w:rFonts w:ascii="Palatino Linotype" w:hAnsi="Palatino Linotype" w:cs="Times New Roman"/>
          <w:noProof/>
          <w:szCs w:val="24"/>
        </w:rPr>
        <w:t xml:space="preserve">Zhang, T., &amp; Lence, S. H. (2022). Liquidity and asset pricing: Evidence from the Chinese stock markets. </w:t>
      </w:r>
      <w:r w:rsidRPr="00B920DA">
        <w:rPr>
          <w:rFonts w:ascii="Palatino Linotype" w:hAnsi="Palatino Linotype" w:cs="Times New Roman"/>
          <w:i/>
          <w:iCs/>
          <w:noProof/>
          <w:szCs w:val="24"/>
        </w:rPr>
        <w:t>North American Journal of Economics and Finance</w:t>
      </w:r>
      <w:r w:rsidRPr="00B920DA">
        <w:rPr>
          <w:rFonts w:ascii="Palatino Linotype" w:hAnsi="Palatino Linotype" w:cs="Times New Roman"/>
          <w:noProof/>
          <w:szCs w:val="24"/>
        </w:rPr>
        <w:t xml:space="preserve">, </w:t>
      </w:r>
      <w:r w:rsidRPr="00B920DA">
        <w:rPr>
          <w:rFonts w:ascii="Palatino Linotype" w:hAnsi="Palatino Linotype" w:cs="Times New Roman"/>
          <w:i/>
          <w:iCs/>
          <w:noProof/>
          <w:szCs w:val="24"/>
        </w:rPr>
        <w:t>59</w:t>
      </w:r>
      <w:r w:rsidRPr="00B920DA">
        <w:rPr>
          <w:rFonts w:ascii="Palatino Linotype" w:hAnsi="Palatino Linotype" w:cs="Times New Roman"/>
          <w:noProof/>
          <w:szCs w:val="24"/>
        </w:rPr>
        <w:t>(April 2021), 101557. https://doi.org/10.1016/j.najef.2021.101557</w:t>
      </w:r>
      <w:bookmarkStart w:id="14" w:name="_Hlk222134878"/>
    </w:p>
    <w:bookmarkEnd w:id="14"/>
    <w:p w14:paraId="7B303B72" w14:textId="7956A0D4" w:rsidR="00B22D76" w:rsidRPr="00B920DA" w:rsidRDefault="009F5CC8" w:rsidP="00B920DA">
      <w:pPr>
        <w:widowControl w:val="0"/>
        <w:autoSpaceDE w:val="0"/>
        <w:autoSpaceDN w:val="0"/>
        <w:adjustRightInd w:val="0"/>
        <w:spacing w:after="0" w:line="240" w:lineRule="auto"/>
        <w:ind w:left="567" w:hanging="567"/>
        <w:contextualSpacing/>
        <w:rPr>
          <w:rFonts w:ascii="Palatino Linotype" w:eastAsia="Arial" w:hAnsi="Palatino Linotype" w:cstheme="majorBidi"/>
          <w:b/>
          <w:color w:val="000000"/>
          <w:szCs w:val="24"/>
        </w:rPr>
      </w:pPr>
      <w:r w:rsidRPr="00B920DA">
        <w:rPr>
          <w:rFonts w:ascii="Palatino Linotype" w:eastAsia="Arial" w:hAnsi="Palatino Linotype" w:cstheme="majorBidi"/>
          <w:b/>
          <w:color w:val="000000"/>
          <w:szCs w:val="24"/>
        </w:rPr>
        <w:fldChar w:fldCharType="end"/>
      </w:r>
    </w:p>
    <w:sectPr w:rsidR="00B22D76" w:rsidRPr="00B920DA" w:rsidSect="00643A66">
      <w:headerReference w:type="even" r:id="rId12"/>
      <w:headerReference w:type="default" r:id="rId13"/>
      <w:footerReference w:type="even" r:id="rId14"/>
      <w:footerReference w:type="default" r:id="rId15"/>
      <w:headerReference w:type="first" r:id="rId16"/>
      <w:footerReference w:type="first" r:id="rId17"/>
      <w:pgSz w:w="12240" w:h="15840"/>
      <w:pgMar w:top="1701" w:right="1418" w:bottom="1418" w:left="1701" w:header="720" w:footer="720" w:gutter="567"/>
      <w:pgNumType w:start="12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F1AE1" w14:textId="77777777" w:rsidR="008D4B40" w:rsidRDefault="008D4B40" w:rsidP="00C06184">
      <w:pPr>
        <w:spacing w:after="0" w:line="240" w:lineRule="auto"/>
      </w:pPr>
      <w:r>
        <w:separator/>
      </w:r>
    </w:p>
  </w:endnote>
  <w:endnote w:type="continuationSeparator" w:id="0">
    <w:p w14:paraId="70233FC3" w14:textId="77777777" w:rsidR="008D4B40" w:rsidRDefault="008D4B40" w:rsidP="00C0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8A7B" w14:textId="2C0D5C4C" w:rsidR="004550F4" w:rsidRPr="00C1097D" w:rsidRDefault="00DB6E4E" w:rsidP="00F136E6">
    <w:pPr>
      <w:pBdr>
        <w:top w:val="nil"/>
        <w:left w:val="nil"/>
        <w:bottom w:val="nil"/>
        <w:right w:val="nil"/>
        <w:between w:val="nil"/>
      </w:pBdr>
      <w:spacing w:after="0" w:line="240" w:lineRule="auto"/>
      <w:ind w:hanging="2"/>
      <w:jc w:val="right"/>
      <w:rPr>
        <w:rFonts w:ascii="Palatino Linotype" w:eastAsia="Arial" w:hAnsi="Palatino Linotype"/>
        <w:b/>
        <w:color w:val="000000"/>
        <w:szCs w:val="24"/>
      </w:rPr>
    </w:pPr>
    <w:r w:rsidRPr="00DB6E4E">
      <w:rPr>
        <w:rFonts w:ascii="Palatino Linotype" w:eastAsia="Arial" w:hAnsi="Palatino Linotype" w:cstheme="majorBidi"/>
        <w:b/>
        <w:color w:val="000000"/>
        <w:szCs w:val="24"/>
      </w:rPr>
      <w:t>Ismail</w:t>
    </w:r>
    <w:r>
      <w:rPr>
        <w:rFonts w:ascii="Palatino Linotype" w:eastAsia="Arial" w:hAnsi="Palatino Linotype" w:cstheme="majorBidi"/>
        <w:b/>
        <w:color w:val="000000"/>
        <w:szCs w:val="24"/>
      </w:rPr>
      <w:t xml:space="preserve"> &amp; </w:t>
    </w:r>
    <w:r w:rsidRPr="00DB6E4E">
      <w:rPr>
        <w:rFonts w:ascii="Palatino Linotype" w:eastAsia="Arial" w:hAnsi="Palatino Linotype" w:cstheme="majorBidi"/>
        <w:b/>
        <w:color w:val="000000"/>
        <w:szCs w:val="24"/>
      </w:rPr>
      <w:t>Muchtar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2CCB" w14:textId="194A4CF0" w:rsidR="004550F4" w:rsidRPr="00391C89" w:rsidRDefault="00DB6E4E" w:rsidP="000278AA">
    <w:pPr>
      <w:pStyle w:val="Footer"/>
      <w:jc w:val="right"/>
      <w:rPr>
        <w:rFonts w:ascii="Palatino Linotype" w:hAnsi="Palatino Linotype"/>
        <w:b/>
        <w:bCs/>
      </w:rPr>
    </w:pPr>
    <w:r w:rsidRPr="00DB6E4E">
      <w:rPr>
        <w:rFonts w:ascii="Palatino Linotype" w:hAnsi="Palatino Linotype" w:cs="Times New Roman"/>
        <w:b/>
        <w:bCs/>
        <w:szCs w:val="24"/>
      </w:rPr>
      <w:t>The Effect of Financial Performance on Stock Performance</w:t>
    </w:r>
    <w:r>
      <w:rPr>
        <w:rFonts w:ascii="Palatino Linotype" w:hAnsi="Palatino Linotype" w:cs="Times New Roman"/>
        <w:b/>
        <w:bCs/>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D1DA" w14:textId="77777777" w:rsidR="00643A66" w:rsidRDefault="00643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4293B" w14:textId="77777777" w:rsidR="008D4B40" w:rsidRDefault="008D4B40" w:rsidP="00C06184">
      <w:pPr>
        <w:spacing w:after="0" w:line="240" w:lineRule="auto"/>
      </w:pPr>
      <w:r>
        <w:separator/>
      </w:r>
    </w:p>
  </w:footnote>
  <w:footnote w:type="continuationSeparator" w:id="0">
    <w:p w14:paraId="17586030" w14:textId="77777777" w:rsidR="008D4B40" w:rsidRDefault="008D4B40" w:rsidP="00C0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77ADD" w14:textId="77777777" w:rsidR="004550F4" w:rsidRPr="0040748D" w:rsidRDefault="00000000" w:rsidP="00152724">
    <w:pPr>
      <w:pStyle w:val="Header"/>
      <w:jc w:val="left"/>
      <w:rPr>
        <w:rFonts w:ascii="Palatino Linotype" w:eastAsia="Palatino Linotype" w:hAnsi="Palatino Linotype" w:cs="Palatino Linotype"/>
        <w:b/>
        <w:bCs/>
        <w:i/>
        <w:color w:val="000000"/>
        <w:sz w:val="18"/>
        <w:szCs w:val="18"/>
      </w:rPr>
    </w:pPr>
    <w:sdt>
      <w:sdtPr>
        <w:id w:val="12271642"/>
        <w:docPartObj>
          <w:docPartGallery w:val="Page Numbers (Margins)"/>
          <w:docPartUnique/>
        </w:docPartObj>
      </w:sdtPr>
      <w:sdtContent>
        <w:r w:rsidR="004550F4">
          <w:rPr>
            <w:noProof/>
          </w:rPr>
          <mc:AlternateContent>
            <mc:Choice Requires="wps">
              <w:drawing>
                <wp:anchor distT="0" distB="0" distL="114300" distR="114300" simplePos="0" relativeHeight="251661312" behindDoc="0" locked="0" layoutInCell="0" allowOverlap="1" wp14:anchorId="42882C59" wp14:editId="7D1A281F">
                  <wp:simplePos x="0" y="0"/>
                  <wp:positionH relativeFrom="rightMargin">
                    <wp:align>center</wp:align>
                  </wp:positionH>
                  <wp:positionV relativeFrom="margin">
                    <wp:align>bottom</wp:align>
                  </wp:positionV>
                  <wp:extent cx="510540" cy="218313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4A85" w14:textId="567ADC6F" w:rsidR="004550F4" w:rsidRPr="00967986" w:rsidRDefault="004550F4">
                              <w:pPr>
                                <w:pStyle w:val="Footer"/>
                                <w:rPr>
                                  <w:rFonts w:ascii="Palatino Linotype" w:eastAsiaTheme="majorEastAsia" w:hAnsi="Palatino Linotype" w:cstheme="majorBidi"/>
                                  <w:sz w:val="44"/>
                                  <w:szCs w:val="44"/>
                                </w:rPr>
                              </w:pPr>
                              <w:r w:rsidRPr="00967986">
                                <w:rPr>
                                  <w:rFonts w:ascii="Palatino Linotype" w:eastAsiaTheme="majorEastAsia" w:hAnsi="Palatino Linotype" w:cstheme="majorBidi"/>
                                </w:rPr>
                                <w:t>Page</w:t>
                              </w:r>
                              <w:r>
                                <w:rPr>
                                  <w:rFonts w:ascii="Palatino Linotype" w:eastAsiaTheme="majorEastAsia" w:hAnsi="Palatino Linotype" w:cstheme="majorBidi"/>
                                </w:rPr>
                                <w:t xml:space="preserve"> </w:t>
                              </w:r>
                              <w:r w:rsidRPr="00967986">
                                <w:rPr>
                                  <w:rFonts w:ascii="Palatino Linotype" w:eastAsiaTheme="minorEastAsia" w:hAnsi="Palatino Linotype" w:cstheme="minorBidi"/>
                                  <w:sz w:val="22"/>
                                </w:rPr>
                                <w:fldChar w:fldCharType="begin"/>
                              </w:r>
                              <w:r w:rsidRPr="00967986">
                                <w:rPr>
                                  <w:rFonts w:ascii="Palatino Linotype" w:hAnsi="Palatino Linotype"/>
                                </w:rPr>
                                <w:instrText xml:space="preserve"> PAGE    \* MERGEFORMAT </w:instrText>
                              </w:r>
                              <w:r w:rsidRPr="00967986">
                                <w:rPr>
                                  <w:rFonts w:ascii="Palatino Linotype" w:eastAsiaTheme="minorEastAsia" w:hAnsi="Palatino Linotype" w:cstheme="minorBidi"/>
                                  <w:sz w:val="22"/>
                                </w:rPr>
                                <w:fldChar w:fldCharType="separate"/>
                              </w:r>
                              <w:r w:rsidR="00C5561E" w:rsidRPr="00C5561E">
                                <w:rPr>
                                  <w:rFonts w:ascii="Palatino Linotype" w:eastAsiaTheme="majorEastAsia" w:hAnsi="Palatino Linotype" w:cstheme="majorBidi"/>
                                  <w:noProof/>
                                  <w:sz w:val="44"/>
                                  <w:szCs w:val="44"/>
                                </w:rPr>
                                <w:t>132</w:t>
                              </w:r>
                              <w:r w:rsidRPr="00967986">
                                <w:rPr>
                                  <w:rFonts w:ascii="Palatino Linotype" w:eastAsiaTheme="majorEastAsia" w:hAnsi="Palatino Linotype"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2882C59" id="Rectangle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711F4A85" w14:textId="567ADC6F" w:rsidR="004550F4" w:rsidRPr="00967986" w:rsidRDefault="004550F4">
                        <w:pPr>
                          <w:pStyle w:val="Footer"/>
                          <w:rPr>
                            <w:rFonts w:ascii="Palatino Linotype" w:eastAsiaTheme="majorEastAsia" w:hAnsi="Palatino Linotype" w:cstheme="majorBidi"/>
                            <w:sz w:val="44"/>
                            <w:szCs w:val="44"/>
                          </w:rPr>
                        </w:pPr>
                        <w:r w:rsidRPr="00967986">
                          <w:rPr>
                            <w:rFonts w:ascii="Palatino Linotype" w:eastAsiaTheme="majorEastAsia" w:hAnsi="Palatino Linotype" w:cstheme="majorBidi"/>
                          </w:rPr>
                          <w:t>Page</w:t>
                        </w:r>
                        <w:r>
                          <w:rPr>
                            <w:rFonts w:ascii="Palatino Linotype" w:eastAsiaTheme="majorEastAsia" w:hAnsi="Palatino Linotype" w:cstheme="majorBidi"/>
                          </w:rPr>
                          <w:t xml:space="preserve"> </w:t>
                        </w:r>
                        <w:r w:rsidRPr="00967986">
                          <w:rPr>
                            <w:rFonts w:ascii="Palatino Linotype" w:eastAsiaTheme="minorEastAsia" w:hAnsi="Palatino Linotype" w:cstheme="minorBidi"/>
                            <w:sz w:val="22"/>
                          </w:rPr>
                          <w:fldChar w:fldCharType="begin"/>
                        </w:r>
                        <w:r w:rsidRPr="00967986">
                          <w:rPr>
                            <w:rFonts w:ascii="Palatino Linotype" w:hAnsi="Palatino Linotype"/>
                          </w:rPr>
                          <w:instrText xml:space="preserve"> PAGE    \* MERGEFORMAT </w:instrText>
                        </w:r>
                        <w:r w:rsidRPr="00967986">
                          <w:rPr>
                            <w:rFonts w:ascii="Palatino Linotype" w:eastAsiaTheme="minorEastAsia" w:hAnsi="Palatino Linotype" w:cstheme="minorBidi"/>
                            <w:sz w:val="22"/>
                          </w:rPr>
                          <w:fldChar w:fldCharType="separate"/>
                        </w:r>
                        <w:r w:rsidR="00C5561E" w:rsidRPr="00C5561E">
                          <w:rPr>
                            <w:rFonts w:ascii="Palatino Linotype" w:eastAsiaTheme="majorEastAsia" w:hAnsi="Palatino Linotype" w:cstheme="majorBidi"/>
                            <w:noProof/>
                            <w:sz w:val="44"/>
                            <w:szCs w:val="44"/>
                          </w:rPr>
                          <w:t>132</w:t>
                        </w:r>
                        <w:r w:rsidRPr="00967986">
                          <w:rPr>
                            <w:rFonts w:ascii="Palatino Linotype" w:eastAsiaTheme="majorEastAsia" w:hAnsi="Palatino Linotype" w:cstheme="majorBidi"/>
                            <w:noProof/>
                            <w:sz w:val="44"/>
                            <w:szCs w:val="44"/>
                          </w:rPr>
                          <w:fldChar w:fldCharType="end"/>
                        </w:r>
                      </w:p>
                    </w:txbxContent>
                  </v:textbox>
                  <w10:wrap anchorx="margin" anchory="margin"/>
                </v:rect>
              </w:pict>
            </mc:Fallback>
          </mc:AlternateContent>
        </w:r>
      </w:sdtContent>
    </w:sdt>
    <w:r w:rsidR="004550F4">
      <w:rPr>
        <w:noProof/>
      </w:rPr>
      <w:drawing>
        <wp:inline distT="0" distB="0" distL="0" distR="0" wp14:anchorId="1032BE73" wp14:editId="05C1079D">
          <wp:extent cx="5324475" cy="504825"/>
          <wp:effectExtent l="0" t="0" r="9525" b="9525"/>
          <wp:docPr id="4102" name="Picture 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475" cy="504825"/>
                  </a:xfrm>
                  <a:prstGeom prst="rect">
                    <a:avLst/>
                  </a:prstGeom>
                  <a:noFill/>
                  <a:ln>
                    <a:noFill/>
                  </a:ln>
                </pic:spPr>
              </pic:pic>
            </a:graphicData>
          </a:graphic>
        </wp:inline>
      </w:drawing>
    </w:r>
    <w:r w:rsidR="004550F4" w:rsidRPr="0040748D">
      <w:rPr>
        <w:rFonts w:ascii="Palatino Linotype" w:eastAsia="Palatino Linotype" w:hAnsi="Palatino Linotype" w:cs="Palatino Linotype"/>
        <w:b/>
        <w:bCs/>
        <w:iCs/>
        <w:color w:val="000000"/>
        <w:sz w:val="20"/>
        <w:szCs w:val="20"/>
      </w:rPr>
      <w:t xml:space="preserve">        </w:t>
    </w:r>
    <w:r w:rsidR="004550F4">
      <w:rPr>
        <w:rFonts w:ascii="Palatino Linotype" w:eastAsia="Palatino Linotype" w:hAnsi="Palatino Linotype" w:cs="Palatino Linotype"/>
        <w:b/>
        <w:bCs/>
        <w:iCs/>
        <w:color w:val="000000"/>
        <w:sz w:val="20"/>
        <w:szCs w:val="20"/>
      </w:rPr>
      <w:t xml:space="preserve">           </w:t>
    </w:r>
  </w:p>
  <w:tbl>
    <w:tblPr>
      <w:tblStyle w:val="KisiTabe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087"/>
    </w:tblGrid>
    <w:tr w:rsidR="004550F4" w14:paraId="20D7C1CE" w14:textId="77777777" w:rsidTr="004D19CF">
      <w:tc>
        <w:tcPr>
          <w:tcW w:w="4135" w:type="dxa"/>
        </w:tcPr>
        <w:p w14:paraId="6ED13870" w14:textId="62EC8651" w:rsidR="004550F4" w:rsidRPr="006C4A51" w:rsidRDefault="004550F4" w:rsidP="00CA68B7">
          <w:pPr>
            <w:pStyle w:val="Header"/>
            <w:rPr>
              <w:rFonts w:ascii="Palatino Linotype" w:eastAsia="Palatino Linotype" w:hAnsi="Palatino Linotype" w:cs="Palatino Linotype"/>
              <w:b/>
              <w:bCs/>
              <w:iCs/>
              <w:color w:val="000000"/>
              <w:sz w:val="20"/>
              <w:szCs w:val="20"/>
            </w:rPr>
          </w:pPr>
          <w:r>
            <w:rPr>
              <w:rFonts w:ascii="Palatino Linotype" w:eastAsia="Palatino Linotype" w:hAnsi="Palatino Linotype" w:cs="Palatino Linotype"/>
              <w:b/>
              <w:bCs/>
              <w:iCs/>
              <w:color w:val="000000"/>
              <w:sz w:val="20"/>
              <w:szCs w:val="20"/>
            </w:rPr>
            <w:t xml:space="preserve">Vol. </w:t>
          </w:r>
          <w:r w:rsidR="00643A66">
            <w:rPr>
              <w:rFonts w:ascii="Palatino Linotype" w:eastAsia="Palatino Linotype" w:hAnsi="Palatino Linotype" w:cs="Palatino Linotype"/>
              <w:b/>
              <w:bCs/>
              <w:iCs/>
              <w:color w:val="000000"/>
              <w:sz w:val="20"/>
              <w:szCs w:val="20"/>
            </w:rPr>
            <w:t>6 No. 1</w:t>
          </w:r>
          <w:r w:rsidR="00643A66" w:rsidRPr="0040748D">
            <w:rPr>
              <w:rFonts w:ascii="Palatino Linotype" w:eastAsia="Palatino Linotype" w:hAnsi="Palatino Linotype" w:cs="Palatino Linotype"/>
              <w:b/>
              <w:bCs/>
              <w:iCs/>
              <w:color w:val="000000"/>
              <w:sz w:val="20"/>
              <w:szCs w:val="20"/>
            </w:rPr>
            <w:t>,</w:t>
          </w:r>
          <w:r w:rsidR="00643A66">
            <w:rPr>
              <w:rFonts w:ascii="Palatino Linotype" w:eastAsia="Palatino Linotype" w:hAnsi="Palatino Linotype" w:cs="Palatino Linotype"/>
              <w:b/>
              <w:bCs/>
              <w:iCs/>
              <w:color w:val="000000"/>
              <w:sz w:val="20"/>
              <w:szCs w:val="20"/>
            </w:rPr>
            <w:t xml:space="preserve"> 2026, 1215</w:t>
          </w:r>
          <w:r w:rsidR="00643A66">
            <w:rPr>
              <w:rFonts w:ascii="Palatino Linotype" w:eastAsia="Palatino Linotype" w:hAnsi="Palatino Linotype" w:cs="Palatino Linotype"/>
              <w:b/>
              <w:bCs/>
              <w:iCs/>
              <w:color w:val="000000"/>
              <w:sz w:val="20"/>
              <w:szCs w:val="20"/>
              <w:lang w:val="id-ID"/>
            </w:rPr>
            <w:t>–1229</w:t>
          </w:r>
        </w:p>
      </w:tc>
      <w:tc>
        <w:tcPr>
          <w:tcW w:w="4087" w:type="dxa"/>
        </w:tcPr>
        <w:p w14:paraId="6B6F1DD1" w14:textId="2464A7CE" w:rsidR="004550F4" w:rsidRDefault="004550F4" w:rsidP="004D19CF">
          <w:pPr>
            <w:pStyle w:val="Header"/>
            <w:jc w:val="right"/>
            <w:rPr>
              <w:rFonts w:ascii="Palatino Linotype" w:eastAsia="Palatino Linotype" w:hAnsi="Palatino Linotype" w:cs="Palatino Linotype"/>
              <w:b/>
              <w:bCs/>
              <w:iCs/>
              <w:color w:val="000000"/>
              <w:sz w:val="20"/>
              <w:szCs w:val="20"/>
            </w:rPr>
          </w:pPr>
          <w:r w:rsidRPr="0040748D">
            <w:rPr>
              <w:rFonts w:ascii="Palatino Linotype" w:eastAsia="Palatino Linotype" w:hAnsi="Palatino Linotype" w:cs="Palatino Linotype"/>
              <w:b/>
              <w:bCs/>
              <w:iCs/>
              <w:color w:val="000000"/>
              <w:sz w:val="20"/>
              <w:szCs w:val="20"/>
            </w:rPr>
            <w:t xml:space="preserve">e-ISSN </w:t>
          </w:r>
          <w:hyperlink r:id="rId2" w:history="1">
            <w:r w:rsidRPr="00236D28">
              <w:rPr>
                <w:rStyle w:val="Hyperlink"/>
                <w:rFonts w:ascii="Palatino Linotype" w:eastAsia="Palatino Linotype" w:hAnsi="Palatino Linotype" w:cs="Palatino Linotype"/>
                <w:b/>
                <w:bCs/>
                <w:iCs/>
                <w:sz w:val="20"/>
                <w:szCs w:val="20"/>
              </w:rPr>
              <w:t>2798-0170</w:t>
            </w:r>
          </w:hyperlink>
        </w:p>
      </w:tc>
    </w:tr>
  </w:tbl>
  <w:p w14:paraId="4D190989" w14:textId="6FF76153" w:rsidR="004550F4" w:rsidRDefault="004550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9721" w14:textId="0C879C80" w:rsidR="004550F4" w:rsidRPr="0040748D" w:rsidRDefault="00000000" w:rsidP="003463FC">
    <w:pPr>
      <w:pStyle w:val="Header"/>
      <w:jc w:val="left"/>
      <w:rPr>
        <w:rFonts w:ascii="Palatino Linotype" w:eastAsia="Palatino Linotype" w:hAnsi="Palatino Linotype" w:cs="Palatino Linotype"/>
        <w:b/>
        <w:bCs/>
        <w:i/>
        <w:color w:val="000000"/>
        <w:sz w:val="18"/>
        <w:szCs w:val="18"/>
      </w:rPr>
    </w:pPr>
    <w:sdt>
      <w:sdtPr>
        <w:rPr>
          <w:rFonts w:ascii="Palatino Linotype" w:eastAsia="Palatino Linotype" w:hAnsi="Palatino Linotype" w:cs="Palatino Linotype"/>
          <w:b/>
          <w:bCs/>
          <w:iCs/>
          <w:color w:val="000000"/>
          <w:sz w:val="20"/>
          <w:szCs w:val="20"/>
        </w:rPr>
        <w:id w:val="-1827268338"/>
        <w:docPartObj>
          <w:docPartGallery w:val="Page Numbers (Margins)"/>
          <w:docPartUnique/>
        </w:docPartObj>
      </w:sdtPr>
      <w:sdtContent>
        <w:r w:rsidR="004550F4" w:rsidRPr="00391C89">
          <w:rPr>
            <w:rFonts w:ascii="Palatino Linotype" w:eastAsia="Palatino Linotype" w:hAnsi="Palatino Linotype" w:cs="Palatino Linotype"/>
            <w:b/>
            <w:bCs/>
            <w:iCs/>
            <w:noProof/>
            <w:color w:val="000000"/>
            <w:sz w:val="20"/>
            <w:szCs w:val="20"/>
          </w:rPr>
          <mc:AlternateContent>
            <mc:Choice Requires="wps">
              <w:drawing>
                <wp:anchor distT="0" distB="0" distL="114300" distR="114300" simplePos="0" relativeHeight="251659264" behindDoc="0" locked="0" layoutInCell="0" allowOverlap="1" wp14:anchorId="26C106C7" wp14:editId="562DC90C">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93B78" w14:textId="25F4709D" w:rsidR="004550F4" w:rsidRPr="00967986" w:rsidRDefault="004550F4">
                              <w:pPr>
                                <w:pStyle w:val="Footer"/>
                                <w:rPr>
                                  <w:rFonts w:ascii="Palatino Linotype" w:eastAsiaTheme="majorEastAsia" w:hAnsi="Palatino Linotype" w:cstheme="majorBidi"/>
                                  <w:sz w:val="32"/>
                                  <w:szCs w:val="32"/>
                                </w:rPr>
                              </w:pPr>
                              <w:r w:rsidRPr="00967986">
                                <w:rPr>
                                  <w:rFonts w:ascii="Palatino Linotype" w:eastAsiaTheme="majorEastAsia" w:hAnsi="Palatino Linotype" w:cstheme="majorBidi"/>
                                  <w:sz w:val="32"/>
                                  <w:szCs w:val="32"/>
                                </w:rPr>
                                <w:t>Page</w:t>
                              </w:r>
                              <w:r>
                                <w:rPr>
                                  <w:rFonts w:ascii="Palatino Linotype" w:eastAsiaTheme="majorEastAsia" w:hAnsi="Palatino Linotype" w:cstheme="majorBidi"/>
                                  <w:sz w:val="32"/>
                                  <w:szCs w:val="32"/>
                                </w:rPr>
                                <w:t xml:space="preserve"> </w:t>
                              </w:r>
                              <w:r w:rsidRPr="00967986">
                                <w:rPr>
                                  <w:rFonts w:ascii="Palatino Linotype" w:eastAsiaTheme="minorEastAsia" w:hAnsi="Palatino Linotype" w:cstheme="minorBidi"/>
                                  <w:sz w:val="32"/>
                                  <w:szCs w:val="32"/>
                                </w:rPr>
                                <w:fldChar w:fldCharType="begin"/>
                              </w:r>
                              <w:r w:rsidRPr="00967986">
                                <w:rPr>
                                  <w:rFonts w:ascii="Palatino Linotype" w:hAnsi="Palatino Linotype"/>
                                  <w:sz w:val="32"/>
                                  <w:szCs w:val="32"/>
                                </w:rPr>
                                <w:instrText xml:space="preserve"> PAGE    \* MERGEFORMAT </w:instrText>
                              </w:r>
                              <w:r w:rsidRPr="00967986">
                                <w:rPr>
                                  <w:rFonts w:ascii="Palatino Linotype" w:eastAsiaTheme="minorEastAsia" w:hAnsi="Palatino Linotype" w:cstheme="minorBidi"/>
                                  <w:sz w:val="32"/>
                                  <w:szCs w:val="32"/>
                                </w:rPr>
                                <w:fldChar w:fldCharType="separate"/>
                              </w:r>
                              <w:r w:rsidR="00042705" w:rsidRPr="00042705">
                                <w:rPr>
                                  <w:rFonts w:ascii="Palatino Linotype" w:eastAsiaTheme="majorEastAsia" w:hAnsi="Palatino Linotype" w:cstheme="majorBidi"/>
                                  <w:noProof/>
                                  <w:sz w:val="32"/>
                                  <w:szCs w:val="32"/>
                                </w:rPr>
                                <w:t>151</w:t>
                              </w:r>
                              <w:r w:rsidRPr="00967986">
                                <w:rPr>
                                  <w:rFonts w:ascii="Palatino Linotype" w:eastAsiaTheme="majorEastAsia" w:hAnsi="Palatino Linotype" w:cstheme="majorBidi"/>
                                  <w:noProof/>
                                  <w:sz w:val="32"/>
                                  <w:szCs w:val="32"/>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6C106C7" 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" o:allowincell="f" filled="f" stroked="f">
                  <v:textbox style="layout-flow:vertical;mso-layout-flow-alt:bottom-to-top;mso-fit-shape-to-text:t">
                    <w:txbxContent>
                      <w:p w14:paraId="3E393B78" w14:textId="25F4709D" w:rsidR="004550F4" w:rsidRPr="00967986" w:rsidRDefault="004550F4">
                        <w:pPr>
                          <w:pStyle w:val="Footer"/>
                          <w:rPr>
                            <w:rFonts w:ascii="Palatino Linotype" w:eastAsiaTheme="majorEastAsia" w:hAnsi="Palatino Linotype" w:cstheme="majorBidi"/>
                            <w:sz w:val="32"/>
                            <w:szCs w:val="32"/>
                          </w:rPr>
                        </w:pPr>
                        <w:r w:rsidRPr="00967986">
                          <w:rPr>
                            <w:rFonts w:ascii="Palatino Linotype" w:eastAsiaTheme="majorEastAsia" w:hAnsi="Palatino Linotype" w:cstheme="majorBidi"/>
                            <w:sz w:val="32"/>
                            <w:szCs w:val="32"/>
                          </w:rPr>
                          <w:t>Page</w:t>
                        </w:r>
                        <w:r>
                          <w:rPr>
                            <w:rFonts w:ascii="Palatino Linotype" w:eastAsiaTheme="majorEastAsia" w:hAnsi="Palatino Linotype" w:cstheme="majorBidi"/>
                            <w:sz w:val="32"/>
                            <w:szCs w:val="32"/>
                          </w:rPr>
                          <w:t xml:space="preserve"> </w:t>
                        </w:r>
                        <w:r w:rsidRPr="00967986">
                          <w:rPr>
                            <w:rFonts w:ascii="Palatino Linotype" w:eastAsiaTheme="minorEastAsia" w:hAnsi="Palatino Linotype" w:cstheme="minorBidi"/>
                            <w:sz w:val="32"/>
                            <w:szCs w:val="32"/>
                          </w:rPr>
                          <w:fldChar w:fldCharType="begin"/>
                        </w:r>
                        <w:r w:rsidRPr="00967986">
                          <w:rPr>
                            <w:rFonts w:ascii="Palatino Linotype" w:hAnsi="Palatino Linotype"/>
                            <w:sz w:val="32"/>
                            <w:szCs w:val="32"/>
                          </w:rPr>
                          <w:instrText xml:space="preserve"> PAGE    \* MERGEFORMAT </w:instrText>
                        </w:r>
                        <w:r w:rsidRPr="00967986">
                          <w:rPr>
                            <w:rFonts w:ascii="Palatino Linotype" w:eastAsiaTheme="minorEastAsia" w:hAnsi="Palatino Linotype" w:cstheme="minorBidi"/>
                            <w:sz w:val="32"/>
                            <w:szCs w:val="32"/>
                          </w:rPr>
                          <w:fldChar w:fldCharType="separate"/>
                        </w:r>
                        <w:r w:rsidR="00042705" w:rsidRPr="00042705">
                          <w:rPr>
                            <w:rFonts w:ascii="Palatino Linotype" w:eastAsiaTheme="majorEastAsia" w:hAnsi="Palatino Linotype" w:cstheme="majorBidi"/>
                            <w:noProof/>
                            <w:sz w:val="32"/>
                            <w:szCs w:val="32"/>
                          </w:rPr>
                          <w:t>151</w:t>
                        </w:r>
                        <w:r w:rsidRPr="00967986">
                          <w:rPr>
                            <w:rFonts w:ascii="Palatino Linotype" w:eastAsiaTheme="majorEastAsia" w:hAnsi="Palatino Linotype" w:cstheme="majorBidi"/>
                            <w:noProof/>
                            <w:sz w:val="32"/>
                            <w:szCs w:val="32"/>
                          </w:rPr>
                          <w:fldChar w:fldCharType="end"/>
                        </w:r>
                      </w:p>
                    </w:txbxContent>
                  </v:textbox>
                  <w10:wrap anchorx="margin" anchory="margin"/>
                </v:rect>
              </w:pict>
            </mc:Fallback>
          </mc:AlternateContent>
        </w:r>
      </w:sdtContent>
    </w:sdt>
    <w:r w:rsidR="004550F4">
      <w:rPr>
        <w:noProof/>
      </w:rPr>
      <w:drawing>
        <wp:inline distT="0" distB="0" distL="0" distR="0" wp14:anchorId="028C3895" wp14:editId="2747F7B7">
          <wp:extent cx="5324475" cy="504825"/>
          <wp:effectExtent l="0" t="0" r="9525" b="9525"/>
          <wp:docPr id="4103" name="Picture 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4475" cy="504825"/>
                  </a:xfrm>
                  <a:prstGeom prst="rect">
                    <a:avLst/>
                  </a:prstGeom>
                  <a:noFill/>
                  <a:ln>
                    <a:noFill/>
                  </a:ln>
                </pic:spPr>
              </pic:pic>
            </a:graphicData>
          </a:graphic>
        </wp:inline>
      </w:drawing>
    </w:r>
    <w:r w:rsidR="004550F4" w:rsidRPr="0040748D">
      <w:rPr>
        <w:rFonts w:ascii="Palatino Linotype" w:eastAsia="Palatino Linotype" w:hAnsi="Palatino Linotype" w:cs="Palatino Linotype"/>
        <w:b/>
        <w:bCs/>
        <w:iCs/>
        <w:color w:val="000000"/>
        <w:sz w:val="20"/>
        <w:szCs w:val="20"/>
      </w:rPr>
      <w:t xml:space="preserve">        </w:t>
    </w:r>
    <w:r w:rsidR="004550F4">
      <w:rPr>
        <w:rFonts w:ascii="Palatino Linotype" w:eastAsia="Palatino Linotype" w:hAnsi="Palatino Linotype" w:cs="Palatino Linotype"/>
        <w:b/>
        <w:bCs/>
        <w:iCs/>
        <w:color w:val="000000"/>
        <w:sz w:val="20"/>
        <w:szCs w:val="20"/>
      </w:rPr>
      <w:t xml:space="preserve">           </w:t>
    </w:r>
  </w:p>
  <w:tbl>
    <w:tblPr>
      <w:tblStyle w:val="KisiTabel"/>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4087"/>
    </w:tblGrid>
    <w:tr w:rsidR="004550F4" w14:paraId="1F1580AC" w14:textId="77777777" w:rsidTr="004550F4">
      <w:tc>
        <w:tcPr>
          <w:tcW w:w="4135" w:type="dxa"/>
        </w:tcPr>
        <w:p w14:paraId="61731F1C" w14:textId="1A30C263" w:rsidR="004550F4" w:rsidRPr="006C4A51" w:rsidRDefault="004550F4" w:rsidP="00B53617">
          <w:pPr>
            <w:pStyle w:val="Header"/>
            <w:rPr>
              <w:rFonts w:ascii="Palatino Linotype" w:eastAsia="Palatino Linotype" w:hAnsi="Palatino Linotype" w:cs="Palatino Linotype"/>
              <w:b/>
              <w:bCs/>
              <w:iCs/>
              <w:color w:val="000000"/>
              <w:sz w:val="20"/>
              <w:szCs w:val="20"/>
            </w:rPr>
          </w:pPr>
          <w:r>
            <w:rPr>
              <w:rFonts w:ascii="Palatino Linotype" w:eastAsia="Palatino Linotype" w:hAnsi="Palatino Linotype" w:cs="Palatino Linotype"/>
              <w:b/>
              <w:bCs/>
              <w:iCs/>
              <w:color w:val="000000"/>
              <w:sz w:val="20"/>
              <w:szCs w:val="20"/>
            </w:rPr>
            <w:t xml:space="preserve">Vol. </w:t>
          </w:r>
          <w:r w:rsidR="00643A66">
            <w:rPr>
              <w:rFonts w:ascii="Palatino Linotype" w:eastAsia="Palatino Linotype" w:hAnsi="Palatino Linotype" w:cs="Palatino Linotype"/>
              <w:b/>
              <w:bCs/>
              <w:iCs/>
              <w:color w:val="000000"/>
              <w:sz w:val="20"/>
              <w:szCs w:val="20"/>
            </w:rPr>
            <w:t>6</w:t>
          </w:r>
          <w:r>
            <w:rPr>
              <w:rFonts w:ascii="Palatino Linotype" w:eastAsia="Palatino Linotype" w:hAnsi="Palatino Linotype" w:cs="Palatino Linotype"/>
              <w:b/>
              <w:bCs/>
              <w:iCs/>
              <w:color w:val="000000"/>
              <w:sz w:val="20"/>
              <w:szCs w:val="20"/>
            </w:rPr>
            <w:t xml:space="preserve"> No. </w:t>
          </w:r>
          <w:r w:rsidR="00643A66">
            <w:rPr>
              <w:rFonts w:ascii="Palatino Linotype" w:eastAsia="Palatino Linotype" w:hAnsi="Palatino Linotype" w:cs="Palatino Linotype"/>
              <w:b/>
              <w:bCs/>
              <w:iCs/>
              <w:color w:val="000000"/>
              <w:sz w:val="20"/>
              <w:szCs w:val="20"/>
            </w:rPr>
            <w:t>1</w:t>
          </w:r>
          <w:r w:rsidRPr="0040748D">
            <w:rPr>
              <w:rFonts w:ascii="Palatino Linotype" w:eastAsia="Palatino Linotype" w:hAnsi="Palatino Linotype" w:cs="Palatino Linotype"/>
              <w:b/>
              <w:bCs/>
              <w:iCs/>
              <w:color w:val="000000"/>
              <w:sz w:val="20"/>
              <w:szCs w:val="20"/>
            </w:rPr>
            <w:t>,</w:t>
          </w:r>
          <w:r>
            <w:rPr>
              <w:rFonts w:ascii="Palatino Linotype" w:eastAsia="Palatino Linotype" w:hAnsi="Palatino Linotype" w:cs="Palatino Linotype"/>
              <w:b/>
              <w:bCs/>
              <w:iCs/>
              <w:color w:val="000000"/>
              <w:sz w:val="20"/>
              <w:szCs w:val="20"/>
            </w:rPr>
            <w:t xml:space="preserve"> 202</w:t>
          </w:r>
          <w:r w:rsidR="00643A66">
            <w:rPr>
              <w:rFonts w:ascii="Palatino Linotype" w:eastAsia="Palatino Linotype" w:hAnsi="Palatino Linotype" w:cs="Palatino Linotype"/>
              <w:b/>
              <w:bCs/>
              <w:iCs/>
              <w:color w:val="000000"/>
              <w:sz w:val="20"/>
              <w:szCs w:val="20"/>
            </w:rPr>
            <w:t>6</w:t>
          </w:r>
          <w:r>
            <w:rPr>
              <w:rFonts w:ascii="Palatino Linotype" w:eastAsia="Palatino Linotype" w:hAnsi="Palatino Linotype" w:cs="Palatino Linotype"/>
              <w:b/>
              <w:bCs/>
              <w:iCs/>
              <w:color w:val="000000"/>
              <w:sz w:val="20"/>
              <w:szCs w:val="20"/>
            </w:rPr>
            <w:t xml:space="preserve">, </w:t>
          </w:r>
          <w:r w:rsidR="00884794">
            <w:rPr>
              <w:rFonts w:ascii="Palatino Linotype" w:eastAsia="Palatino Linotype" w:hAnsi="Palatino Linotype" w:cs="Palatino Linotype"/>
              <w:b/>
              <w:bCs/>
              <w:iCs/>
              <w:color w:val="000000"/>
              <w:sz w:val="20"/>
              <w:szCs w:val="20"/>
            </w:rPr>
            <w:t>1</w:t>
          </w:r>
          <w:r w:rsidR="00643A66">
            <w:rPr>
              <w:rFonts w:ascii="Palatino Linotype" w:eastAsia="Palatino Linotype" w:hAnsi="Palatino Linotype" w:cs="Palatino Linotype"/>
              <w:b/>
              <w:bCs/>
              <w:iCs/>
              <w:color w:val="000000"/>
              <w:sz w:val="20"/>
              <w:szCs w:val="20"/>
            </w:rPr>
            <w:t>215</w:t>
          </w:r>
          <w:r w:rsidR="00884794">
            <w:rPr>
              <w:rFonts w:ascii="Palatino Linotype" w:eastAsia="Palatino Linotype" w:hAnsi="Palatino Linotype" w:cs="Palatino Linotype"/>
              <w:b/>
              <w:bCs/>
              <w:iCs/>
              <w:color w:val="000000"/>
              <w:sz w:val="20"/>
              <w:szCs w:val="20"/>
              <w:lang w:val="id-ID"/>
            </w:rPr>
            <w:t>–1</w:t>
          </w:r>
          <w:r w:rsidR="00643A66">
            <w:rPr>
              <w:rFonts w:ascii="Palatino Linotype" w:eastAsia="Palatino Linotype" w:hAnsi="Palatino Linotype" w:cs="Palatino Linotype"/>
              <w:b/>
              <w:bCs/>
              <w:iCs/>
              <w:color w:val="000000"/>
              <w:sz w:val="20"/>
              <w:szCs w:val="20"/>
              <w:lang w:val="id-ID"/>
            </w:rPr>
            <w:t>229</w:t>
          </w:r>
        </w:p>
      </w:tc>
      <w:tc>
        <w:tcPr>
          <w:tcW w:w="4087" w:type="dxa"/>
        </w:tcPr>
        <w:p w14:paraId="187D6EEF" w14:textId="77777777" w:rsidR="004550F4" w:rsidRDefault="004550F4" w:rsidP="00B53617">
          <w:pPr>
            <w:pStyle w:val="Header"/>
            <w:jc w:val="right"/>
            <w:rPr>
              <w:rFonts w:ascii="Palatino Linotype" w:eastAsia="Palatino Linotype" w:hAnsi="Palatino Linotype" w:cs="Palatino Linotype"/>
              <w:b/>
              <w:bCs/>
              <w:iCs/>
              <w:color w:val="000000"/>
              <w:sz w:val="20"/>
              <w:szCs w:val="20"/>
            </w:rPr>
          </w:pPr>
          <w:r w:rsidRPr="0040748D">
            <w:rPr>
              <w:rFonts w:ascii="Palatino Linotype" w:eastAsia="Palatino Linotype" w:hAnsi="Palatino Linotype" w:cs="Palatino Linotype"/>
              <w:b/>
              <w:bCs/>
              <w:iCs/>
              <w:color w:val="000000"/>
              <w:sz w:val="20"/>
              <w:szCs w:val="20"/>
            </w:rPr>
            <w:t xml:space="preserve">e-ISSN </w:t>
          </w:r>
          <w:hyperlink r:id="rId2" w:history="1">
            <w:r w:rsidRPr="00236D28">
              <w:rPr>
                <w:rStyle w:val="Hyperlink"/>
                <w:rFonts w:ascii="Palatino Linotype" w:eastAsia="Palatino Linotype" w:hAnsi="Palatino Linotype" w:cs="Palatino Linotype"/>
                <w:b/>
                <w:bCs/>
                <w:iCs/>
                <w:sz w:val="20"/>
                <w:szCs w:val="20"/>
              </w:rPr>
              <w:t>2798-0170</w:t>
            </w:r>
          </w:hyperlink>
        </w:p>
      </w:tc>
    </w:tr>
  </w:tbl>
  <w:p w14:paraId="7EC5D091" w14:textId="77777777" w:rsidR="004550F4" w:rsidRPr="00C06184" w:rsidRDefault="004550F4" w:rsidP="00B53617">
    <w:pPr>
      <w:pStyle w:val="Header"/>
      <w:jc w:val="left"/>
      <w:rPr>
        <w:sz w:val="28"/>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A706" w14:textId="77777777" w:rsidR="00643A66" w:rsidRDefault="00643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1F78"/>
    <w:multiLevelType w:val="hybridMultilevel"/>
    <w:tmpl w:val="F5242C9A"/>
    <w:lvl w:ilvl="0" w:tplc="EDC67A14">
      <w:start w:val="1"/>
      <w:numFmt w:val="decimal"/>
      <w:lvlText w:val="%1)"/>
      <w:lvlJc w:val="left"/>
      <w:pPr>
        <w:ind w:left="4382" w:hanging="360"/>
      </w:pPr>
      <w:rPr>
        <w:rFonts w:hint="default"/>
      </w:rPr>
    </w:lvl>
    <w:lvl w:ilvl="1" w:tplc="04210019" w:tentative="1">
      <w:start w:val="1"/>
      <w:numFmt w:val="lowerLetter"/>
      <w:lvlText w:val="%2."/>
      <w:lvlJc w:val="left"/>
      <w:pPr>
        <w:ind w:left="5102" w:hanging="360"/>
      </w:pPr>
    </w:lvl>
    <w:lvl w:ilvl="2" w:tplc="0421001B" w:tentative="1">
      <w:start w:val="1"/>
      <w:numFmt w:val="lowerRoman"/>
      <w:lvlText w:val="%3."/>
      <w:lvlJc w:val="right"/>
      <w:pPr>
        <w:ind w:left="5822" w:hanging="180"/>
      </w:pPr>
    </w:lvl>
    <w:lvl w:ilvl="3" w:tplc="0421000F" w:tentative="1">
      <w:start w:val="1"/>
      <w:numFmt w:val="decimal"/>
      <w:lvlText w:val="%4."/>
      <w:lvlJc w:val="left"/>
      <w:pPr>
        <w:ind w:left="6542" w:hanging="360"/>
      </w:pPr>
    </w:lvl>
    <w:lvl w:ilvl="4" w:tplc="04210019" w:tentative="1">
      <w:start w:val="1"/>
      <w:numFmt w:val="lowerLetter"/>
      <w:lvlText w:val="%5."/>
      <w:lvlJc w:val="left"/>
      <w:pPr>
        <w:ind w:left="7262" w:hanging="360"/>
      </w:pPr>
    </w:lvl>
    <w:lvl w:ilvl="5" w:tplc="0421001B" w:tentative="1">
      <w:start w:val="1"/>
      <w:numFmt w:val="lowerRoman"/>
      <w:lvlText w:val="%6."/>
      <w:lvlJc w:val="right"/>
      <w:pPr>
        <w:ind w:left="7982" w:hanging="180"/>
      </w:pPr>
    </w:lvl>
    <w:lvl w:ilvl="6" w:tplc="0421000F" w:tentative="1">
      <w:start w:val="1"/>
      <w:numFmt w:val="decimal"/>
      <w:lvlText w:val="%7."/>
      <w:lvlJc w:val="left"/>
      <w:pPr>
        <w:ind w:left="8702" w:hanging="360"/>
      </w:pPr>
    </w:lvl>
    <w:lvl w:ilvl="7" w:tplc="04210019" w:tentative="1">
      <w:start w:val="1"/>
      <w:numFmt w:val="lowerLetter"/>
      <w:lvlText w:val="%8."/>
      <w:lvlJc w:val="left"/>
      <w:pPr>
        <w:ind w:left="9422" w:hanging="360"/>
      </w:pPr>
    </w:lvl>
    <w:lvl w:ilvl="8" w:tplc="0421001B" w:tentative="1">
      <w:start w:val="1"/>
      <w:numFmt w:val="lowerRoman"/>
      <w:lvlText w:val="%9."/>
      <w:lvlJc w:val="right"/>
      <w:pPr>
        <w:ind w:left="10142" w:hanging="180"/>
      </w:pPr>
    </w:lvl>
  </w:abstractNum>
  <w:abstractNum w:abstractNumId="1" w15:restartNumberingAfterBreak="0">
    <w:nsid w:val="012C126A"/>
    <w:multiLevelType w:val="multilevel"/>
    <w:tmpl w:val="5AC0C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138D1"/>
    <w:multiLevelType w:val="hybridMultilevel"/>
    <w:tmpl w:val="1D4A0CB4"/>
    <w:lvl w:ilvl="0" w:tplc="A838FA9C">
      <w:start w:val="1"/>
      <w:numFmt w:val="decimal"/>
      <w:lvlText w:val="%11"/>
      <w:lvlJc w:val="left"/>
      <w:pPr>
        <w:ind w:left="720" w:hanging="360"/>
      </w:pPr>
      <w:rPr>
        <w:rFonts w:hint="default"/>
        <w:b/>
      </w:rPr>
    </w:lvl>
    <w:lvl w:ilvl="1" w:tplc="0409000F">
      <w:start w:val="1"/>
      <w:numFmt w:val="decimal"/>
      <w:lvlText w:val="%2."/>
      <w:lvlJc w:val="left"/>
      <w:pPr>
        <w:ind w:left="928" w:hanging="360"/>
      </w:pPr>
    </w:lvl>
    <w:lvl w:ilvl="2" w:tplc="F2368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00609"/>
    <w:multiLevelType w:val="hybridMultilevel"/>
    <w:tmpl w:val="993E5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C15AA"/>
    <w:multiLevelType w:val="multilevel"/>
    <w:tmpl w:val="BE741042"/>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5" w15:restartNumberingAfterBreak="0">
    <w:nsid w:val="0803198A"/>
    <w:multiLevelType w:val="hybridMultilevel"/>
    <w:tmpl w:val="F80C8BDC"/>
    <w:lvl w:ilvl="0" w:tplc="055601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83D0F"/>
    <w:multiLevelType w:val="hybridMultilevel"/>
    <w:tmpl w:val="5DD06666"/>
    <w:lvl w:ilvl="0" w:tplc="DC0C4E94">
      <w:start w:val="1"/>
      <w:numFmt w:val="decimal"/>
      <w:pStyle w:val="Tabel1"/>
      <w:lvlText w:val="Tabe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2F211FA"/>
    <w:multiLevelType w:val="hybridMultilevel"/>
    <w:tmpl w:val="AEF438A8"/>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8" w15:restartNumberingAfterBreak="0">
    <w:nsid w:val="15F748EB"/>
    <w:multiLevelType w:val="hybridMultilevel"/>
    <w:tmpl w:val="C0505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879D9"/>
    <w:multiLevelType w:val="hybridMultilevel"/>
    <w:tmpl w:val="9462EFE2"/>
    <w:lvl w:ilvl="0" w:tplc="706C77EC">
      <w:start w:val="1"/>
      <w:numFmt w:val="decimal"/>
      <w:lvlText w:val="%1."/>
      <w:lvlJc w:val="left"/>
      <w:pPr>
        <w:ind w:left="360" w:hanging="360"/>
      </w:pPr>
      <w:rPr>
        <w:i w:val="0"/>
        <w:iCs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0" w15:restartNumberingAfterBreak="0">
    <w:nsid w:val="17CD5412"/>
    <w:multiLevelType w:val="hybridMultilevel"/>
    <w:tmpl w:val="F1140CAA"/>
    <w:lvl w:ilvl="0" w:tplc="38090015">
      <w:start w:val="1"/>
      <w:numFmt w:val="upp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18775239"/>
    <w:multiLevelType w:val="hybridMultilevel"/>
    <w:tmpl w:val="595A6690"/>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C1021"/>
    <w:multiLevelType w:val="multilevel"/>
    <w:tmpl w:val="C5B402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204E0ACF"/>
    <w:multiLevelType w:val="hybridMultilevel"/>
    <w:tmpl w:val="1CA0B072"/>
    <w:lvl w:ilvl="0" w:tplc="AE022E3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2A96A7C"/>
    <w:multiLevelType w:val="multilevel"/>
    <w:tmpl w:val="B3F2D37C"/>
    <w:lvl w:ilvl="0">
      <w:start w:val="1"/>
      <w:numFmt w:val="decimal"/>
      <w:lvlText w:val="%1."/>
      <w:lvlJc w:val="left"/>
      <w:pPr>
        <w:tabs>
          <w:tab w:val="num" w:pos="720"/>
        </w:tabs>
        <w:ind w:left="720" w:hanging="360"/>
      </w:pPr>
      <w:rPr>
        <w:rFonts w:ascii="Palatino Linotype" w:eastAsia="Palatino Linotype" w:hAnsi="Palatino Linotype" w:cs="Palatino Linotyp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15614"/>
    <w:multiLevelType w:val="hybridMultilevel"/>
    <w:tmpl w:val="F9CEF6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4C308BF"/>
    <w:multiLevelType w:val="hybridMultilevel"/>
    <w:tmpl w:val="7EB42FD2"/>
    <w:lvl w:ilvl="0" w:tplc="049086F6">
      <w:start w:val="1"/>
      <w:numFmt w:val="lowerLetter"/>
      <w:lvlText w:val="%1."/>
      <w:lvlJc w:val="left"/>
      <w:pPr>
        <w:ind w:left="720" w:hanging="360"/>
      </w:pPr>
      <w:rPr>
        <w:rFonts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5AC6976"/>
    <w:multiLevelType w:val="hybridMultilevel"/>
    <w:tmpl w:val="2124BD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6357976"/>
    <w:multiLevelType w:val="hybridMultilevel"/>
    <w:tmpl w:val="D90E729A"/>
    <w:lvl w:ilvl="0" w:tplc="3809000F">
      <w:start w:val="1"/>
      <w:numFmt w:val="decimal"/>
      <w:lvlText w:val="%1."/>
      <w:lvlJc w:val="left"/>
      <w:pPr>
        <w:ind w:left="720" w:hanging="360"/>
      </w:pPr>
      <w:rPr>
        <w:rFonts w:hint="default"/>
      </w:rPr>
    </w:lvl>
    <w:lvl w:ilvl="1" w:tplc="19C86652">
      <w:start w:val="1"/>
      <w:numFmt w:val="lowerLetter"/>
      <w:lvlText w:val="%2."/>
      <w:lvlJc w:val="left"/>
      <w:pPr>
        <w:ind w:left="1440" w:hanging="360"/>
      </w:pPr>
      <w:rPr>
        <w:rFonts w:hint="default"/>
      </w:rPr>
    </w:lvl>
    <w:lvl w:ilvl="2" w:tplc="3809000F">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6833593"/>
    <w:multiLevelType w:val="hybridMultilevel"/>
    <w:tmpl w:val="5CB85E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8086EDF"/>
    <w:multiLevelType w:val="hybridMultilevel"/>
    <w:tmpl w:val="5E242902"/>
    <w:lvl w:ilvl="0" w:tplc="E462057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28933E1B"/>
    <w:multiLevelType w:val="hybridMultilevel"/>
    <w:tmpl w:val="E99A52BE"/>
    <w:lvl w:ilvl="0" w:tplc="3809000F">
      <w:start w:val="1"/>
      <w:numFmt w:val="decimal"/>
      <w:lvlText w:val="%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D401B94"/>
    <w:multiLevelType w:val="hybridMultilevel"/>
    <w:tmpl w:val="CB88CA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2DDB643D"/>
    <w:multiLevelType w:val="multilevel"/>
    <w:tmpl w:val="A5261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04B69DB"/>
    <w:multiLevelType w:val="hybridMultilevel"/>
    <w:tmpl w:val="8F589E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2AA58F8"/>
    <w:multiLevelType w:val="hybridMultilevel"/>
    <w:tmpl w:val="34667D36"/>
    <w:lvl w:ilvl="0" w:tplc="D51C1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32E40823"/>
    <w:multiLevelType w:val="hybridMultilevel"/>
    <w:tmpl w:val="0E66C956"/>
    <w:lvl w:ilvl="0" w:tplc="83E08C68">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36D83582"/>
    <w:multiLevelType w:val="hybridMultilevel"/>
    <w:tmpl w:val="1D3A975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379756A0"/>
    <w:multiLevelType w:val="hybridMultilevel"/>
    <w:tmpl w:val="F0BC19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3A267CF8"/>
    <w:multiLevelType w:val="hybridMultilevel"/>
    <w:tmpl w:val="E090B3BE"/>
    <w:lvl w:ilvl="0" w:tplc="0D9A4D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3AF0479B"/>
    <w:multiLevelType w:val="hybridMultilevel"/>
    <w:tmpl w:val="35B48526"/>
    <w:lvl w:ilvl="0" w:tplc="D646E8A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3B6F4722"/>
    <w:multiLevelType w:val="hybridMultilevel"/>
    <w:tmpl w:val="3D649C0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2" w15:restartNumberingAfterBreak="0">
    <w:nsid w:val="3E7F5383"/>
    <w:multiLevelType w:val="multilevel"/>
    <w:tmpl w:val="02F822B4"/>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3" w15:restartNumberingAfterBreak="0">
    <w:nsid w:val="41731EE2"/>
    <w:multiLevelType w:val="multilevel"/>
    <w:tmpl w:val="4B2422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1FE5C94"/>
    <w:multiLevelType w:val="hybridMultilevel"/>
    <w:tmpl w:val="978091EC"/>
    <w:lvl w:ilvl="0" w:tplc="3809000F">
      <w:start w:val="1"/>
      <w:numFmt w:val="decimal"/>
      <w:lvlText w:val="%1."/>
      <w:lvlJc w:val="left"/>
      <w:pPr>
        <w:ind w:left="720" w:hanging="360"/>
      </w:pPr>
      <w:rPr>
        <w:rFonts w:hint="default"/>
      </w:rPr>
    </w:lvl>
    <w:lvl w:ilvl="1" w:tplc="19C86652">
      <w:start w:val="1"/>
      <w:numFmt w:val="lowerLetter"/>
      <w:lvlText w:val="%2."/>
      <w:lvlJc w:val="left"/>
      <w:pPr>
        <w:ind w:left="1440" w:hanging="360"/>
      </w:pPr>
      <w:rPr>
        <w:rFonts w:hint="default"/>
      </w:rPr>
    </w:lvl>
    <w:lvl w:ilvl="2" w:tplc="8410C2C4">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2404ADC"/>
    <w:multiLevelType w:val="hybridMultilevel"/>
    <w:tmpl w:val="A55C344E"/>
    <w:lvl w:ilvl="0" w:tplc="13E6E440">
      <w:start w:val="1"/>
      <w:numFmt w:val="decimal"/>
      <w:lvlText w:val="%1."/>
      <w:lvlJc w:val="left"/>
      <w:pPr>
        <w:ind w:left="1800" w:hanging="360"/>
      </w:pPr>
      <w:rPr>
        <w:rFonts w:ascii="Book Antiqua" w:eastAsiaTheme="majorEastAsia" w:hAnsi="Book Antiqua" w:cstheme="majorBidi"/>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28239D3"/>
    <w:multiLevelType w:val="multilevel"/>
    <w:tmpl w:val="3D648CB6"/>
    <w:lvl w:ilvl="0">
      <w:start w:val="4"/>
      <w:numFmt w:val="decimal"/>
      <w:lvlText w:val="%1"/>
      <w:lvlJc w:val="left"/>
      <w:pPr>
        <w:ind w:left="360" w:hanging="360"/>
      </w:pPr>
      <w:rPr>
        <w:rFonts w:hint="default"/>
        <w:w w:val="120"/>
      </w:rPr>
    </w:lvl>
    <w:lvl w:ilvl="1">
      <w:start w:val="1"/>
      <w:numFmt w:val="decimal"/>
      <w:lvlText w:val="%1.%2"/>
      <w:lvlJc w:val="left"/>
      <w:pPr>
        <w:ind w:left="360" w:hanging="360"/>
      </w:pPr>
      <w:rPr>
        <w:rFonts w:hint="default"/>
        <w:w w:val="120"/>
      </w:rPr>
    </w:lvl>
    <w:lvl w:ilvl="2">
      <w:start w:val="1"/>
      <w:numFmt w:val="decimal"/>
      <w:lvlText w:val="%1.%2.%3"/>
      <w:lvlJc w:val="left"/>
      <w:pPr>
        <w:ind w:left="720" w:hanging="720"/>
      </w:pPr>
      <w:rPr>
        <w:rFonts w:hint="default"/>
        <w:w w:val="120"/>
      </w:rPr>
    </w:lvl>
    <w:lvl w:ilvl="3">
      <w:start w:val="1"/>
      <w:numFmt w:val="decimal"/>
      <w:lvlText w:val="%1.%2.%3.%4"/>
      <w:lvlJc w:val="left"/>
      <w:pPr>
        <w:ind w:left="720" w:hanging="720"/>
      </w:pPr>
      <w:rPr>
        <w:rFonts w:hint="default"/>
        <w:w w:val="120"/>
      </w:rPr>
    </w:lvl>
    <w:lvl w:ilvl="4">
      <w:start w:val="1"/>
      <w:numFmt w:val="decimal"/>
      <w:lvlText w:val="%1.%2.%3.%4.%5"/>
      <w:lvlJc w:val="left"/>
      <w:pPr>
        <w:ind w:left="1080" w:hanging="1080"/>
      </w:pPr>
      <w:rPr>
        <w:rFonts w:hint="default"/>
        <w:w w:val="120"/>
      </w:rPr>
    </w:lvl>
    <w:lvl w:ilvl="5">
      <w:start w:val="1"/>
      <w:numFmt w:val="decimal"/>
      <w:lvlText w:val="%1.%2.%3.%4.%5.%6"/>
      <w:lvlJc w:val="left"/>
      <w:pPr>
        <w:ind w:left="1080" w:hanging="1080"/>
      </w:pPr>
      <w:rPr>
        <w:rFonts w:hint="default"/>
        <w:w w:val="120"/>
      </w:rPr>
    </w:lvl>
    <w:lvl w:ilvl="6">
      <w:start w:val="1"/>
      <w:numFmt w:val="decimal"/>
      <w:lvlText w:val="%1.%2.%3.%4.%5.%6.%7"/>
      <w:lvlJc w:val="left"/>
      <w:pPr>
        <w:ind w:left="1440" w:hanging="1440"/>
      </w:pPr>
      <w:rPr>
        <w:rFonts w:hint="default"/>
        <w:w w:val="120"/>
      </w:rPr>
    </w:lvl>
    <w:lvl w:ilvl="7">
      <w:start w:val="1"/>
      <w:numFmt w:val="decimal"/>
      <w:lvlText w:val="%1.%2.%3.%4.%5.%6.%7.%8"/>
      <w:lvlJc w:val="left"/>
      <w:pPr>
        <w:ind w:left="1440" w:hanging="1440"/>
      </w:pPr>
      <w:rPr>
        <w:rFonts w:hint="default"/>
        <w:w w:val="120"/>
      </w:rPr>
    </w:lvl>
    <w:lvl w:ilvl="8">
      <w:start w:val="1"/>
      <w:numFmt w:val="decimal"/>
      <w:lvlText w:val="%1.%2.%3.%4.%5.%6.%7.%8.%9"/>
      <w:lvlJc w:val="left"/>
      <w:pPr>
        <w:ind w:left="1800" w:hanging="1800"/>
      </w:pPr>
      <w:rPr>
        <w:rFonts w:hint="default"/>
        <w:w w:val="120"/>
      </w:rPr>
    </w:lvl>
  </w:abstractNum>
  <w:abstractNum w:abstractNumId="37" w15:restartNumberingAfterBreak="0">
    <w:nsid w:val="430D0D70"/>
    <w:multiLevelType w:val="hybridMultilevel"/>
    <w:tmpl w:val="E99A52BE"/>
    <w:lvl w:ilvl="0" w:tplc="FFFFFFFF">
      <w:start w:val="1"/>
      <w:numFmt w:val="decimal"/>
      <w:lvlText w:val="%1."/>
      <w:lvlJc w:val="left"/>
      <w:pPr>
        <w:ind w:left="720" w:hanging="36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4681D8D"/>
    <w:multiLevelType w:val="hybridMultilevel"/>
    <w:tmpl w:val="6DC0EEC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9EF183C"/>
    <w:multiLevelType w:val="multilevel"/>
    <w:tmpl w:val="DAB8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A847C98"/>
    <w:multiLevelType w:val="hybridMultilevel"/>
    <w:tmpl w:val="E83A7922"/>
    <w:lvl w:ilvl="0" w:tplc="A4FA75E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1" w15:restartNumberingAfterBreak="0">
    <w:nsid w:val="4B106519"/>
    <w:multiLevelType w:val="hybridMultilevel"/>
    <w:tmpl w:val="21121B1E"/>
    <w:lvl w:ilvl="0" w:tplc="C47440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FA6A0E"/>
    <w:multiLevelType w:val="hybridMultilevel"/>
    <w:tmpl w:val="EC4A94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4EF60A32"/>
    <w:multiLevelType w:val="hybridMultilevel"/>
    <w:tmpl w:val="E9A88C94"/>
    <w:lvl w:ilvl="0" w:tplc="70CCB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1FE3ADC"/>
    <w:multiLevelType w:val="hybridMultilevel"/>
    <w:tmpl w:val="94C4A71E"/>
    <w:lvl w:ilvl="0" w:tplc="B2CE0E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3193831"/>
    <w:multiLevelType w:val="hybridMultilevel"/>
    <w:tmpl w:val="C05C1E76"/>
    <w:lvl w:ilvl="0" w:tplc="ECDA0174">
      <w:start w:val="1"/>
      <w:numFmt w:val="bullet"/>
      <w:lvlText w:val=""/>
      <w:lvlJc w:val="left"/>
      <w:pPr>
        <w:ind w:left="1069" w:hanging="360"/>
      </w:pPr>
      <w:rPr>
        <w:rFonts w:ascii="Symbol" w:hAnsi="Symbol" w:hint="default"/>
        <w:b w:val="0"/>
        <w:bCs w:val="0"/>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6" w15:restartNumberingAfterBreak="0">
    <w:nsid w:val="5369183F"/>
    <w:multiLevelType w:val="hybridMultilevel"/>
    <w:tmpl w:val="890E794C"/>
    <w:lvl w:ilvl="0" w:tplc="F6CA2DD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54766E59"/>
    <w:multiLevelType w:val="hybridMultilevel"/>
    <w:tmpl w:val="11066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0B0937"/>
    <w:multiLevelType w:val="hybridMultilevel"/>
    <w:tmpl w:val="4F585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2D271D"/>
    <w:multiLevelType w:val="multilevel"/>
    <w:tmpl w:val="742C2B1A"/>
    <w:lvl w:ilvl="0">
      <w:start w:val="1"/>
      <w:numFmt w:val="decimal"/>
      <w:lvlText w:val="%1."/>
      <w:lvlJc w:val="left"/>
      <w:pPr>
        <w:tabs>
          <w:tab w:val="num" w:pos="-1260"/>
        </w:tabs>
        <w:ind w:left="-1260" w:hanging="360"/>
      </w:pPr>
    </w:lvl>
    <w:lvl w:ilvl="1" w:tentative="1">
      <w:start w:val="1"/>
      <w:numFmt w:val="decimal"/>
      <w:lvlText w:val="%2."/>
      <w:lvlJc w:val="left"/>
      <w:pPr>
        <w:tabs>
          <w:tab w:val="num" w:pos="-540"/>
        </w:tabs>
        <w:ind w:left="-540" w:hanging="360"/>
      </w:pPr>
    </w:lvl>
    <w:lvl w:ilvl="2" w:tentative="1">
      <w:start w:val="1"/>
      <w:numFmt w:val="decimal"/>
      <w:lvlText w:val="%3."/>
      <w:lvlJc w:val="left"/>
      <w:pPr>
        <w:tabs>
          <w:tab w:val="num" w:pos="180"/>
        </w:tabs>
        <w:ind w:left="180" w:hanging="360"/>
      </w:pPr>
    </w:lvl>
    <w:lvl w:ilvl="3" w:tentative="1">
      <w:start w:val="1"/>
      <w:numFmt w:val="decimal"/>
      <w:lvlText w:val="%4."/>
      <w:lvlJc w:val="left"/>
      <w:pPr>
        <w:tabs>
          <w:tab w:val="num" w:pos="900"/>
        </w:tabs>
        <w:ind w:left="900" w:hanging="360"/>
      </w:pPr>
    </w:lvl>
    <w:lvl w:ilvl="4" w:tentative="1">
      <w:start w:val="1"/>
      <w:numFmt w:val="decimal"/>
      <w:lvlText w:val="%5."/>
      <w:lvlJc w:val="left"/>
      <w:pPr>
        <w:tabs>
          <w:tab w:val="num" w:pos="1620"/>
        </w:tabs>
        <w:ind w:left="1620" w:hanging="360"/>
      </w:pPr>
    </w:lvl>
    <w:lvl w:ilvl="5" w:tentative="1">
      <w:start w:val="1"/>
      <w:numFmt w:val="decimal"/>
      <w:lvlText w:val="%6."/>
      <w:lvlJc w:val="left"/>
      <w:pPr>
        <w:tabs>
          <w:tab w:val="num" w:pos="2340"/>
        </w:tabs>
        <w:ind w:left="2340" w:hanging="360"/>
      </w:pPr>
    </w:lvl>
    <w:lvl w:ilvl="6" w:tentative="1">
      <w:start w:val="1"/>
      <w:numFmt w:val="decimal"/>
      <w:lvlText w:val="%7."/>
      <w:lvlJc w:val="left"/>
      <w:pPr>
        <w:tabs>
          <w:tab w:val="num" w:pos="3060"/>
        </w:tabs>
        <w:ind w:left="3060" w:hanging="360"/>
      </w:pPr>
    </w:lvl>
    <w:lvl w:ilvl="7" w:tentative="1">
      <w:start w:val="1"/>
      <w:numFmt w:val="decimal"/>
      <w:lvlText w:val="%8."/>
      <w:lvlJc w:val="left"/>
      <w:pPr>
        <w:tabs>
          <w:tab w:val="num" w:pos="3780"/>
        </w:tabs>
        <w:ind w:left="3780" w:hanging="360"/>
      </w:pPr>
    </w:lvl>
    <w:lvl w:ilvl="8" w:tentative="1">
      <w:start w:val="1"/>
      <w:numFmt w:val="decimal"/>
      <w:lvlText w:val="%9."/>
      <w:lvlJc w:val="left"/>
      <w:pPr>
        <w:tabs>
          <w:tab w:val="num" w:pos="4500"/>
        </w:tabs>
        <w:ind w:left="4500" w:hanging="360"/>
      </w:pPr>
    </w:lvl>
  </w:abstractNum>
  <w:abstractNum w:abstractNumId="50" w15:restartNumberingAfterBreak="0">
    <w:nsid w:val="575D4D05"/>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8574C2F"/>
    <w:multiLevelType w:val="multilevel"/>
    <w:tmpl w:val="E1762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B31606"/>
    <w:multiLevelType w:val="hybridMultilevel"/>
    <w:tmpl w:val="347CFE3C"/>
    <w:lvl w:ilvl="0" w:tplc="6CF0D5B4">
      <w:start w:val="1"/>
      <w:numFmt w:val="decimal"/>
      <w:lvlText w:val="%1."/>
      <w:lvlJc w:val="left"/>
      <w:pPr>
        <w:ind w:left="1437" w:hanging="6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BB31D68"/>
    <w:multiLevelType w:val="multilevel"/>
    <w:tmpl w:val="F87687C0"/>
    <w:lvl w:ilvl="0">
      <w:start w:val="1"/>
      <w:numFmt w:val="decimal"/>
      <w:lvlText w:val="%1"/>
      <w:lvlJc w:val="left"/>
      <w:pPr>
        <w:ind w:left="474" w:hanging="359"/>
      </w:pPr>
      <w:rPr>
        <w:rFonts w:ascii="Times New Roman" w:eastAsia="Times New Roman" w:hAnsi="Times New Roman" w:cs="Times New Roman" w:hint="default"/>
        <w:w w:val="99"/>
        <w:sz w:val="24"/>
        <w:szCs w:val="24"/>
        <w:lang w:val="en-US" w:eastAsia="en-US" w:bidi="ar-SA"/>
      </w:rPr>
    </w:lvl>
    <w:lvl w:ilvl="1">
      <w:start w:val="1"/>
      <w:numFmt w:val="decimal"/>
      <w:lvlText w:val="%1.%2"/>
      <w:lvlJc w:val="left"/>
      <w:pPr>
        <w:ind w:left="660" w:hanging="545"/>
      </w:pPr>
      <w:rPr>
        <w:rFonts w:ascii="Times New Roman" w:eastAsia="Times New Roman" w:hAnsi="Times New Roman" w:cs="Times New Roman" w:hint="default"/>
        <w:w w:val="101"/>
        <w:sz w:val="24"/>
        <w:szCs w:val="24"/>
        <w:lang w:val="en-US" w:eastAsia="en-US" w:bidi="ar-SA"/>
      </w:rPr>
    </w:lvl>
    <w:lvl w:ilvl="2">
      <w:numFmt w:val="bullet"/>
      <w:lvlText w:val="•"/>
      <w:lvlJc w:val="left"/>
      <w:pPr>
        <w:ind w:left="700" w:hanging="545"/>
      </w:pPr>
      <w:rPr>
        <w:rFonts w:hint="default"/>
        <w:lang w:val="en-US" w:eastAsia="en-US" w:bidi="ar-SA"/>
      </w:rPr>
    </w:lvl>
    <w:lvl w:ilvl="3">
      <w:numFmt w:val="bullet"/>
      <w:lvlText w:val="•"/>
      <w:lvlJc w:val="left"/>
      <w:pPr>
        <w:ind w:left="1905" w:hanging="545"/>
      </w:pPr>
      <w:rPr>
        <w:rFonts w:hint="default"/>
        <w:lang w:val="en-US" w:eastAsia="en-US" w:bidi="ar-SA"/>
      </w:rPr>
    </w:lvl>
    <w:lvl w:ilvl="4">
      <w:numFmt w:val="bullet"/>
      <w:lvlText w:val="•"/>
      <w:lvlJc w:val="left"/>
      <w:pPr>
        <w:ind w:left="3111" w:hanging="545"/>
      </w:pPr>
      <w:rPr>
        <w:rFonts w:hint="default"/>
        <w:lang w:val="en-US" w:eastAsia="en-US" w:bidi="ar-SA"/>
      </w:rPr>
    </w:lvl>
    <w:lvl w:ilvl="5">
      <w:numFmt w:val="bullet"/>
      <w:lvlText w:val="•"/>
      <w:lvlJc w:val="left"/>
      <w:pPr>
        <w:ind w:left="4317" w:hanging="545"/>
      </w:pPr>
      <w:rPr>
        <w:rFonts w:hint="default"/>
        <w:lang w:val="en-US" w:eastAsia="en-US" w:bidi="ar-SA"/>
      </w:rPr>
    </w:lvl>
    <w:lvl w:ilvl="6">
      <w:numFmt w:val="bullet"/>
      <w:lvlText w:val="•"/>
      <w:lvlJc w:val="left"/>
      <w:pPr>
        <w:ind w:left="5522" w:hanging="545"/>
      </w:pPr>
      <w:rPr>
        <w:rFonts w:hint="default"/>
        <w:lang w:val="en-US" w:eastAsia="en-US" w:bidi="ar-SA"/>
      </w:rPr>
    </w:lvl>
    <w:lvl w:ilvl="7">
      <w:numFmt w:val="bullet"/>
      <w:lvlText w:val="•"/>
      <w:lvlJc w:val="left"/>
      <w:pPr>
        <w:ind w:left="6728" w:hanging="545"/>
      </w:pPr>
      <w:rPr>
        <w:rFonts w:hint="default"/>
        <w:lang w:val="en-US" w:eastAsia="en-US" w:bidi="ar-SA"/>
      </w:rPr>
    </w:lvl>
    <w:lvl w:ilvl="8">
      <w:numFmt w:val="bullet"/>
      <w:lvlText w:val="•"/>
      <w:lvlJc w:val="left"/>
      <w:pPr>
        <w:ind w:left="7934" w:hanging="545"/>
      </w:pPr>
      <w:rPr>
        <w:rFonts w:hint="default"/>
        <w:lang w:val="en-US" w:eastAsia="en-US" w:bidi="ar-SA"/>
      </w:rPr>
    </w:lvl>
  </w:abstractNum>
  <w:abstractNum w:abstractNumId="54" w15:restartNumberingAfterBreak="0">
    <w:nsid w:val="5BD84603"/>
    <w:multiLevelType w:val="hybridMultilevel"/>
    <w:tmpl w:val="94088056"/>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6081025C"/>
    <w:multiLevelType w:val="multilevel"/>
    <w:tmpl w:val="5DEC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33B1ED3"/>
    <w:multiLevelType w:val="hybridMultilevel"/>
    <w:tmpl w:val="B73E3C1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63A61FA1"/>
    <w:multiLevelType w:val="hybridMultilevel"/>
    <w:tmpl w:val="50B6D904"/>
    <w:lvl w:ilvl="0" w:tplc="88188816">
      <w:start w:val="4"/>
      <w:numFmt w:val="decimal"/>
      <w:lvlText w:val="%1"/>
      <w:lvlJc w:val="left"/>
      <w:pPr>
        <w:ind w:left="475" w:hanging="360"/>
      </w:pPr>
      <w:rPr>
        <w:rFonts w:hint="default"/>
        <w:w w:val="120"/>
      </w:rPr>
    </w:lvl>
    <w:lvl w:ilvl="1" w:tplc="38090019">
      <w:start w:val="1"/>
      <w:numFmt w:val="lowerLetter"/>
      <w:lvlText w:val="%2."/>
      <w:lvlJc w:val="left"/>
      <w:pPr>
        <w:ind w:left="1195" w:hanging="360"/>
      </w:pPr>
    </w:lvl>
    <w:lvl w:ilvl="2" w:tplc="3809001B" w:tentative="1">
      <w:start w:val="1"/>
      <w:numFmt w:val="lowerRoman"/>
      <w:lvlText w:val="%3."/>
      <w:lvlJc w:val="right"/>
      <w:pPr>
        <w:ind w:left="1915" w:hanging="180"/>
      </w:pPr>
    </w:lvl>
    <w:lvl w:ilvl="3" w:tplc="3809000F" w:tentative="1">
      <w:start w:val="1"/>
      <w:numFmt w:val="decimal"/>
      <w:lvlText w:val="%4."/>
      <w:lvlJc w:val="left"/>
      <w:pPr>
        <w:ind w:left="2635" w:hanging="360"/>
      </w:pPr>
    </w:lvl>
    <w:lvl w:ilvl="4" w:tplc="38090019" w:tentative="1">
      <w:start w:val="1"/>
      <w:numFmt w:val="lowerLetter"/>
      <w:lvlText w:val="%5."/>
      <w:lvlJc w:val="left"/>
      <w:pPr>
        <w:ind w:left="3355" w:hanging="360"/>
      </w:pPr>
    </w:lvl>
    <w:lvl w:ilvl="5" w:tplc="3809001B" w:tentative="1">
      <w:start w:val="1"/>
      <w:numFmt w:val="lowerRoman"/>
      <w:lvlText w:val="%6."/>
      <w:lvlJc w:val="right"/>
      <w:pPr>
        <w:ind w:left="4075" w:hanging="180"/>
      </w:pPr>
    </w:lvl>
    <w:lvl w:ilvl="6" w:tplc="3809000F" w:tentative="1">
      <w:start w:val="1"/>
      <w:numFmt w:val="decimal"/>
      <w:lvlText w:val="%7."/>
      <w:lvlJc w:val="left"/>
      <w:pPr>
        <w:ind w:left="4795" w:hanging="360"/>
      </w:pPr>
    </w:lvl>
    <w:lvl w:ilvl="7" w:tplc="38090019" w:tentative="1">
      <w:start w:val="1"/>
      <w:numFmt w:val="lowerLetter"/>
      <w:lvlText w:val="%8."/>
      <w:lvlJc w:val="left"/>
      <w:pPr>
        <w:ind w:left="5515" w:hanging="360"/>
      </w:pPr>
    </w:lvl>
    <w:lvl w:ilvl="8" w:tplc="3809001B" w:tentative="1">
      <w:start w:val="1"/>
      <w:numFmt w:val="lowerRoman"/>
      <w:lvlText w:val="%9."/>
      <w:lvlJc w:val="right"/>
      <w:pPr>
        <w:ind w:left="6235" w:hanging="180"/>
      </w:pPr>
    </w:lvl>
  </w:abstractNum>
  <w:abstractNum w:abstractNumId="58" w15:restartNumberingAfterBreak="0">
    <w:nsid w:val="64A96399"/>
    <w:multiLevelType w:val="hybridMultilevel"/>
    <w:tmpl w:val="D0004524"/>
    <w:lvl w:ilvl="0" w:tplc="1DC679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6B1B30DD"/>
    <w:multiLevelType w:val="hybridMultilevel"/>
    <w:tmpl w:val="B4F8358E"/>
    <w:lvl w:ilvl="0" w:tplc="065C4530">
      <w:start w:val="1"/>
      <w:numFmt w:val="decimal"/>
      <w:lvlText w:val="%1."/>
      <w:lvlJc w:val="left"/>
      <w:pPr>
        <w:ind w:left="720" w:hanging="360"/>
      </w:pPr>
      <w:rPr>
        <w:rFonts w:ascii="Times New Roman" w:eastAsia="Calibri"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5455EB"/>
    <w:multiLevelType w:val="hybridMultilevel"/>
    <w:tmpl w:val="A1F240E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61" w15:restartNumberingAfterBreak="0">
    <w:nsid w:val="6D517ACA"/>
    <w:multiLevelType w:val="hybridMultilevel"/>
    <w:tmpl w:val="123CE51A"/>
    <w:lvl w:ilvl="0" w:tplc="0409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15:restartNumberingAfterBreak="0">
    <w:nsid w:val="71DD0E42"/>
    <w:multiLevelType w:val="hybridMultilevel"/>
    <w:tmpl w:val="4858D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BB7383"/>
    <w:multiLevelType w:val="hybridMultilevel"/>
    <w:tmpl w:val="9894D0B2"/>
    <w:lvl w:ilvl="0" w:tplc="38090017">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2083335332">
    <w:abstractNumId w:val="3"/>
  </w:num>
  <w:num w:numId="2" w16cid:durableId="606275007">
    <w:abstractNumId w:val="8"/>
  </w:num>
  <w:num w:numId="3" w16cid:durableId="1521427459">
    <w:abstractNumId w:val="53"/>
  </w:num>
  <w:num w:numId="4" w16cid:durableId="1266352177">
    <w:abstractNumId w:val="57"/>
  </w:num>
  <w:num w:numId="5" w16cid:durableId="1925608281">
    <w:abstractNumId w:val="36"/>
  </w:num>
  <w:num w:numId="6" w16cid:durableId="143856348">
    <w:abstractNumId w:val="2"/>
  </w:num>
  <w:num w:numId="7" w16cid:durableId="2043478558">
    <w:abstractNumId w:val="0"/>
  </w:num>
  <w:num w:numId="8" w16cid:durableId="518618294">
    <w:abstractNumId w:val="19"/>
  </w:num>
  <w:num w:numId="9" w16cid:durableId="202717426">
    <w:abstractNumId w:val="49"/>
  </w:num>
  <w:num w:numId="10" w16cid:durableId="743603279">
    <w:abstractNumId w:val="50"/>
  </w:num>
  <w:num w:numId="11" w16cid:durableId="1021318902">
    <w:abstractNumId w:val="7"/>
  </w:num>
  <w:num w:numId="12" w16cid:durableId="766465237">
    <w:abstractNumId w:val="14"/>
  </w:num>
  <w:num w:numId="13" w16cid:durableId="2106685237">
    <w:abstractNumId w:val="10"/>
  </w:num>
  <w:num w:numId="14" w16cid:durableId="1953127713">
    <w:abstractNumId w:val="63"/>
  </w:num>
  <w:num w:numId="15" w16cid:durableId="1068334926">
    <w:abstractNumId w:val="34"/>
  </w:num>
  <w:num w:numId="16" w16cid:durableId="767848070">
    <w:abstractNumId w:val="56"/>
  </w:num>
  <w:num w:numId="17" w16cid:durableId="2029285850">
    <w:abstractNumId w:val="18"/>
  </w:num>
  <w:num w:numId="18" w16cid:durableId="31811927">
    <w:abstractNumId w:val="9"/>
  </w:num>
  <w:num w:numId="19" w16cid:durableId="1446346383">
    <w:abstractNumId w:val="17"/>
  </w:num>
  <w:num w:numId="20" w16cid:durableId="1427575493">
    <w:abstractNumId w:val="45"/>
  </w:num>
  <w:num w:numId="21" w16cid:durableId="681516142">
    <w:abstractNumId w:val="39"/>
  </w:num>
  <w:num w:numId="22" w16cid:durableId="916936468">
    <w:abstractNumId w:val="1"/>
  </w:num>
  <w:num w:numId="23" w16cid:durableId="151991674">
    <w:abstractNumId w:val="51"/>
  </w:num>
  <w:num w:numId="24" w16cid:durableId="610750299">
    <w:abstractNumId w:val="55"/>
  </w:num>
  <w:num w:numId="25" w16cid:durableId="1958371545">
    <w:abstractNumId w:val="52"/>
  </w:num>
  <w:num w:numId="26" w16cid:durableId="1943800720">
    <w:abstractNumId w:val="28"/>
  </w:num>
  <w:num w:numId="27" w16cid:durableId="644623235">
    <w:abstractNumId w:val="60"/>
  </w:num>
  <w:num w:numId="28" w16cid:durableId="194392174">
    <w:abstractNumId w:val="24"/>
  </w:num>
  <w:num w:numId="29" w16cid:durableId="1150055259">
    <w:abstractNumId w:val="42"/>
  </w:num>
  <w:num w:numId="30" w16cid:durableId="821585915">
    <w:abstractNumId w:val="22"/>
  </w:num>
  <w:num w:numId="31" w16cid:durableId="821697583">
    <w:abstractNumId w:val="21"/>
  </w:num>
  <w:num w:numId="32" w16cid:durableId="969825453">
    <w:abstractNumId w:val="37"/>
  </w:num>
  <w:num w:numId="33" w16cid:durableId="2096783539">
    <w:abstractNumId w:val="26"/>
  </w:num>
  <w:num w:numId="34" w16cid:durableId="1676034926">
    <w:abstractNumId w:val="61"/>
  </w:num>
  <w:num w:numId="35" w16cid:durableId="428426392">
    <w:abstractNumId w:val="48"/>
  </w:num>
  <w:num w:numId="36" w16cid:durableId="1292248298">
    <w:abstractNumId w:val="29"/>
  </w:num>
  <w:num w:numId="37" w16cid:durableId="934509379">
    <w:abstractNumId w:val="46"/>
  </w:num>
  <w:num w:numId="38" w16cid:durableId="339284487">
    <w:abstractNumId w:val="44"/>
  </w:num>
  <w:num w:numId="39" w16cid:durableId="371005458">
    <w:abstractNumId w:val="58"/>
  </w:num>
  <w:num w:numId="40" w16cid:durableId="1405569665">
    <w:abstractNumId w:val="30"/>
  </w:num>
  <w:num w:numId="41" w16cid:durableId="383455765">
    <w:abstractNumId w:val="25"/>
  </w:num>
  <w:num w:numId="42" w16cid:durableId="557325675">
    <w:abstractNumId w:val="13"/>
  </w:num>
  <w:num w:numId="43" w16cid:durableId="669258566">
    <w:abstractNumId w:val="12"/>
  </w:num>
  <w:num w:numId="44" w16cid:durableId="1117603583">
    <w:abstractNumId w:val="23"/>
  </w:num>
  <w:num w:numId="45" w16cid:durableId="1908803149">
    <w:abstractNumId w:val="4"/>
  </w:num>
  <w:num w:numId="46" w16cid:durableId="1227377739">
    <w:abstractNumId w:val="32"/>
  </w:num>
  <w:num w:numId="47" w16cid:durableId="1291086086">
    <w:abstractNumId w:val="43"/>
  </w:num>
  <w:num w:numId="48" w16cid:durableId="127286329">
    <w:abstractNumId w:val="11"/>
  </w:num>
  <w:num w:numId="49" w16cid:durableId="899512827">
    <w:abstractNumId w:val="33"/>
  </w:num>
  <w:num w:numId="50" w16cid:durableId="813765146">
    <w:abstractNumId w:val="31"/>
  </w:num>
  <w:num w:numId="51" w16cid:durableId="1419790315">
    <w:abstractNumId w:val="5"/>
  </w:num>
  <w:num w:numId="52" w16cid:durableId="141897955">
    <w:abstractNumId w:val="62"/>
  </w:num>
  <w:num w:numId="53" w16cid:durableId="925184570">
    <w:abstractNumId w:val="38"/>
  </w:num>
  <w:num w:numId="54" w16cid:durableId="1724014127">
    <w:abstractNumId w:val="47"/>
  </w:num>
  <w:num w:numId="55" w16cid:durableId="1491170049">
    <w:abstractNumId w:val="16"/>
  </w:num>
  <w:num w:numId="56" w16cid:durableId="1123156615">
    <w:abstractNumId w:val="59"/>
  </w:num>
  <w:num w:numId="57" w16cid:durableId="479350734">
    <w:abstractNumId w:val="41"/>
  </w:num>
  <w:num w:numId="58" w16cid:durableId="579486456">
    <w:abstractNumId w:val="35"/>
  </w:num>
  <w:num w:numId="59" w16cid:durableId="709917029">
    <w:abstractNumId w:val="20"/>
  </w:num>
  <w:num w:numId="60" w16cid:durableId="1703479433">
    <w:abstractNumId w:val="27"/>
  </w:num>
  <w:num w:numId="61" w16cid:durableId="412246319">
    <w:abstractNumId w:val="6"/>
  </w:num>
  <w:num w:numId="62" w16cid:durableId="386534098">
    <w:abstractNumId w:val="40"/>
  </w:num>
  <w:num w:numId="63" w16cid:durableId="1269242530">
    <w:abstractNumId w:val="15"/>
  </w:num>
  <w:num w:numId="64" w16cid:durableId="1963343730">
    <w:abstractNumId w:val="5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84"/>
    <w:rsid w:val="00000BE0"/>
    <w:rsid w:val="0000685B"/>
    <w:rsid w:val="0000745F"/>
    <w:rsid w:val="00014F88"/>
    <w:rsid w:val="000209D4"/>
    <w:rsid w:val="00021DAC"/>
    <w:rsid w:val="00022047"/>
    <w:rsid w:val="00023862"/>
    <w:rsid w:val="00024336"/>
    <w:rsid w:val="000246E1"/>
    <w:rsid w:val="000278AA"/>
    <w:rsid w:val="00030BE2"/>
    <w:rsid w:val="00032F33"/>
    <w:rsid w:val="00035663"/>
    <w:rsid w:val="00042705"/>
    <w:rsid w:val="00046CE4"/>
    <w:rsid w:val="00055625"/>
    <w:rsid w:val="00056513"/>
    <w:rsid w:val="00061D6D"/>
    <w:rsid w:val="00064450"/>
    <w:rsid w:val="000705DC"/>
    <w:rsid w:val="00082199"/>
    <w:rsid w:val="00082FCD"/>
    <w:rsid w:val="000862F6"/>
    <w:rsid w:val="00090ACD"/>
    <w:rsid w:val="0009391F"/>
    <w:rsid w:val="000A5298"/>
    <w:rsid w:val="000B431D"/>
    <w:rsid w:val="000C06F8"/>
    <w:rsid w:val="000C1E34"/>
    <w:rsid w:val="000C22EE"/>
    <w:rsid w:val="000C2E20"/>
    <w:rsid w:val="000C34EE"/>
    <w:rsid w:val="000D4C7B"/>
    <w:rsid w:val="000D61D3"/>
    <w:rsid w:val="000D625C"/>
    <w:rsid w:val="000D6E97"/>
    <w:rsid w:val="000D7A02"/>
    <w:rsid w:val="000E208A"/>
    <w:rsid w:val="000E3720"/>
    <w:rsid w:val="000F67F2"/>
    <w:rsid w:val="001001C0"/>
    <w:rsid w:val="00100792"/>
    <w:rsid w:val="0010242F"/>
    <w:rsid w:val="00104029"/>
    <w:rsid w:val="00104059"/>
    <w:rsid w:val="00110AC0"/>
    <w:rsid w:val="00117F0E"/>
    <w:rsid w:val="00123703"/>
    <w:rsid w:val="001246D9"/>
    <w:rsid w:val="00124F37"/>
    <w:rsid w:val="001264CB"/>
    <w:rsid w:val="00133054"/>
    <w:rsid w:val="00137934"/>
    <w:rsid w:val="00142260"/>
    <w:rsid w:val="00152724"/>
    <w:rsid w:val="00153406"/>
    <w:rsid w:val="001539DA"/>
    <w:rsid w:val="00155E6D"/>
    <w:rsid w:val="001562A9"/>
    <w:rsid w:val="00156AAF"/>
    <w:rsid w:val="0016006D"/>
    <w:rsid w:val="0017002E"/>
    <w:rsid w:val="0017144E"/>
    <w:rsid w:val="001747D3"/>
    <w:rsid w:val="00176B41"/>
    <w:rsid w:val="00182E09"/>
    <w:rsid w:val="00185BB5"/>
    <w:rsid w:val="001878B4"/>
    <w:rsid w:val="001900AB"/>
    <w:rsid w:val="00190DC0"/>
    <w:rsid w:val="00191DD6"/>
    <w:rsid w:val="001951C9"/>
    <w:rsid w:val="00196AD7"/>
    <w:rsid w:val="001A15EE"/>
    <w:rsid w:val="001A572C"/>
    <w:rsid w:val="001A7D0C"/>
    <w:rsid w:val="001B57DD"/>
    <w:rsid w:val="001C267D"/>
    <w:rsid w:val="001C29B9"/>
    <w:rsid w:val="001C3523"/>
    <w:rsid w:val="001D47CF"/>
    <w:rsid w:val="001E17DA"/>
    <w:rsid w:val="001E5A06"/>
    <w:rsid w:val="001F1DC1"/>
    <w:rsid w:val="001F7391"/>
    <w:rsid w:val="00202279"/>
    <w:rsid w:val="00204E9F"/>
    <w:rsid w:val="002214AD"/>
    <w:rsid w:val="002221FA"/>
    <w:rsid w:val="00224FB5"/>
    <w:rsid w:val="00226702"/>
    <w:rsid w:val="00230DD7"/>
    <w:rsid w:val="00236D28"/>
    <w:rsid w:val="00243398"/>
    <w:rsid w:val="00251B49"/>
    <w:rsid w:val="002603C9"/>
    <w:rsid w:val="002609EF"/>
    <w:rsid w:val="002649BE"/>
    <w:rsid w:val="00266757"/>
    <w:rsid w:val="00271DF7"/>
    <w:rsid w:val="00274368"/>
    <w:rsid w:val="00280CCB"/>
    <w:rsid w:val="00281C38"/>
    <w:rsid w:val="002852B1"/>
    <w:rsid w:val="00285ABC"/>
    <w:rsid w:val="002A3500"/>
    <w:rsid w:val="002A4FB1"/>
    <w:rsid w:val="002B29EB"/>
    <w:rsid w:val="002B382E"/>
    <w:rsid w:val="002B78F0"/>
    <w:rsid w:val="002C4B8B"/>
    <w:rsid w:val="002C54B4"/>
    <w:rsid w:val="002C5833"/>
    <w:rsid w:val="002D64EF"/>
    <w:rsid w:val="002D7C4B"/>
    <w:rsid w:val="002E4786"/>
    <w:rsid w:val="002E566C"/>
    <w:rsid w:val="002F53E0"/>
    <w:rsid w:val="00301497"/>
    <w:rsid w:val="0030298E"/>
    <w:rsid w:val="003029CB"/>
    <w:rsid w:val="003057AA"/>
    <w:rsid w:val="00310C1B"/>
    <w:rsid w:val="00316CDF"/>
    <w:rsid w:val="00317A34"/>
    <w:rsid w:val="00323136"/>
    <w:rsid w:val="00323C0F"/>
    <w:rsid w:val="00326EBF"/>
    <w:rsid w:val="003356D5"/>
    <w:rsid w:val="003463FC"/>
    <w:rsid w:val="00352C6B"/>
    <w:rsid w:val="00355136"/>
    <w:rsid w:val="0035770B"/>
    <w:rsid w:val="00364CFE"/>
    <w:rsid w:val="00372E65"/>
    <w:rsid w:val="00377893"/>
    <w:rsid w:val="00387AE6"/>
    <w:rsid w:val="003901BA"/>
    <w:rsid w:val="00391C89"/>
    <w:rsid w:val="00394B27"/>
    <w:rsid w:val="00394FE4"/>
    <w:rsid w:val="00397FF5"/>
    <w:rsid w:val="003A017F"/>
    <w:rsid w:val="003A07FB"/>
    <w:rsid w:val="003A688E"/>
    <w:rsid w:val="003B1062"/>
    <w:rsid w:val="003B3234"/>
    <w:rsid w:val="003B41D9"/>
    <w:rsid w:val="003B4DAC"/>
    <w:rsid w:val="003B69BF"/>
    <w:rsid w:val="003C0B72"/>
    <w:rsid w:val="003C238C"/>
    <w:rsid w:val="003C24CA"/>
    <w:rsid w:val="003C76DC"/>
    <w:rsid w:val="003D7B0A"/>
    <w:rsid w:val="003E5479"/>
    <w:rsid w:val="003E7213"/>
    <w:rsid w:val="003F08CF"/>
    <w:rsid w:val="003F3348"/>
    <w:rsid w:val="003F3C0E"/>
    <w:rsid w:val="004012BF"/>
    <w:rsid w:val="00404549"/>
    <w:rsid w:val="004063B7"/>
    <w:rsid w:val="0040748D"/>
    <w:rsid w:val="00420383"/>
    <w:rsid w:val="0043331B"/>
    <w:rsid w:val="00433C01"/>
    <w:rsid w:val="00435622"/>
    <w:rsid w:val="00435CDB"/>
    <w:rsid w:val="00440591"/>
    <w:rsid w:val="00440A27"/>
    <w:rsid w:val="00444287"/>
    <w:rsid w:val="004550F4"/>
    <w:rsid w:val="004613E3"/>
    <w:rsid w:val="00466C9F"/>
    <w:rsid w:val="004706C0"/>
    <w:rsid w:val="00477718"/>
    <w:rsid w:val="00477C81"/>
    <w:rsid w:val="004815D7"/>
    <w:rsid w:val="00483692"/>
    <w:rsid w:val="00486173"/>
    <w:rsid w:val="00486BEA"/>
    <w:rsid w:val="00487D0C"/>
    <w:rsid w:val="00493D24"/>
    <w:rsid w:val="00494FD3"/>
    <w:rsid w:val="004A7720"/>
    <w:rsid w:val="004B0430"/>
    <w:rsid w:val="004B1350"/>
    <w:rsid w:val="004B1997"/>
    <w:rsid w:val="004B57C6"/>
    <w:rsid w:val="004C3EE0"/>
    <w:rsid w:val="004C4381"/>
    <w:rsid w:val="004C4EE8"/>
    <w:rsid w:val="004C592F"/>
    <w:rsid w:val="004C67C2"/>
    <w:rsid w:val="004C7358"/>
    <w:rsid w:val="004D19CF"/>
    <w:rsid w:val="004D41D4"/>
    <w:rsid w:val="004D78F3"/>
    <w:rsid w:val="004E12E9"/>
    <w:rsid w:val="004E1F19"/>
    <w:rsid w:val="004F1C9E"/>
    <w:rsid w:val="004F2BCC"/>
    <w:rsid w:val="004F5EF4"/>
    <w:rsid w:val="00501D5D"/>
    <w:rsid w:val="00502783"/>
    <w:rsid w:val="005035E7"/>
    <w:rsid w:val="00504219"/>
    <w:rsid w:val="00510276"/>
    <w:rsid w:val="005159B6"/>
    <w:rsid w:val="00515A80"/>
    <w:rsid w:val="00525209"/>
    <w:rsid w:val="00532DF9"/>
    <w:rsid w:val="00534357"/>
    <w:rsid w:val="00535579"/>
    <w:rsid w:val="00540EF9"/>
    <w:rsid w:val="00541DFA"/>
    <w:rsid w:val="00543DD1"/>
    <w:rsid w:val="00543F8C"/>
    <w:rsid w:val="00552911"/>
    <w:rsid w:val="005541E0"/>
    <w:rsid w:val="00554AA9"/>
    <w:rsid w:val="00556DC1"/>
    <w:rsid w:val="005673D5"/>
    <w:rsid w:val="005739C7"/>
    <w:rsid w:val="00576A17"/>
    <w:rsid w:val="00586489"/>
    <w:rsid w:val="005923B1"/>
    <w:rsid w:val="00595A0E"/>
    <w:rsid w:val="00596A06"/>
    <w:rsid w:val="005A0ED4"/>
    <w:rsid w:val="005A77EE"/>
    <w:rsid w:val="005B067F"/>
    <w:rsid w:val="005B268D"/>
    <w:rsid w:val="005C0325"/>
    <w:rsid w:val="005C3807"/>
    <w:rsid w:val="005C3915"/>
    <w:rsid w:val="005C423A"/>
    <w:rsid w:val="005C44B2"/>
    <w:rsid w:val="005D0FBC"/>
    <w:rsid w:val="005D3869"/>
    <w:rsid w:val="005D5BD6"/>
    <w:rsid w:val="005D70D8"/>
    <w:rsid w:val="005F0230"/>
    <w:rsid w:val="005F1391"/>
    <w:rsid w:val="005F45E2"/>
    <w:rsid w:val="005F6895"/>
    <w:rsid w:val="00601B0D"/>
    <w:rsid w:val="00616816"/>
    <w:rsid w:val="00621C40"/>
    <w:rsid w:val="00621DA3"/>
    <w:rsid w:val="006244B2"/>
    <w:rsid w:val="00624BBF"/>
    <w:rsid w:val="006252FC"/>
    <w:rsid w:val="00631394"/>
    <w:rsid w:val="00635A3E"/>
    <w:rsid w:val="00642CD5"/>
    <w:rsid w:val="00643A66"/>
    <w:rsid w:val="00644C24"/>
    <w:rsid w:val="00645B7E"/>
    <w:rsid w:val="00645FA8"/>
    <w:rsid w:val="0064770F"/>
    <w:rsid w:val="0064772D"/>
    <w:rsid w:val="00651409"/>
    <w:rsid w:val="0065364A"/>
    <w:rsid w:val="006554BD"/>
    <w:rsid w:val="006605F7"/>
    <w:rsid w:val="00661F3F"/>
    <w:rsid w:val="00665262"/>
    <w:rsid w:val="006654B3"/>
    <w:rsid w:val="00665B73"/>
    <w:rsid w:val="006705E0"/>
    <w:rsid w:val="00672742"/>
    <w:rsid w:val="0067304C"/>
    <w:rsid w:val="006806FB"/>
    <w:rsid w:val="0068326D"/>
    <w:rsid w:val="00687B84"/>
    <w:rsid w:val="00690886"/>
    <w:rsid w:val="006A11CF"/>
    <w:rsid w:val="006A47B2"/>
    <w:rsid w:val="006B06C8"/>
    <w:rsid w:val="006B2AD6"/>
    <w:rsid w:val="006B2CF8"/>
    <w:rsid w:val="006B4B76"/>
    <w:rsid w:val="006B4C05"/>
    <w:rsid w:val="006C0292"/>
    <w:rsid w:val="006C3430"/>
    <w:rsid w:val="006C44F6"/>
    <w:rsid w:val="006C4A51"/>
    <w:rsid w:val="006C6C1D"/>
    <w:rsid w:val="006C6CEA"/>
    <w:rsid w:val="006D33CD"/>
    <w:rsid w:val="006D4CBC"/>
    <w:rsid w:val="006E291F"/>
    <w:rsid w:val="006E56BB"/>
    <w:rsid w:val="006E5908"/>
    <w:rsid w:val="006F2542"/>
    <w:rsid w:val="006F42BB"/>
    <w:rsid w:val="0070288F"/>
    <w:rsid w:val="007033F7"/>
    <w:rsid w:val="007040AC"/>
    <w:rsid w:val="007055C8"/>
    <w:rsid w:val="00705A5D"/>
    <w:rsid w:val="007061C1"/>
    <w:rsid w:val="007065A4"/>
    <w:rsid w:val="007135DE"/>
    <w:rsid w:val="007354D3"/>
    <w:rsid w:val="00735E13"/>
    <w:rsid w:val="00741955"/>
    <w:rsid w:val="00743013"/>
    <w:rsid w:val="00751E6E"/>
    <w:rsid w:val="00756762"/>
    <w:rsid w:val="007577D0"/>
    <w:rsid w:val="0076152F"/>
    <w:rsid w:val="00761C63"/>
    <w:rsid w:val="00765867"/>
    <w:rsid w:val="00771D4A"/>
    <w:rsid w:val="00772CDB"/>
    <w:rsid w:val="00773EF1"/>
    <w:rsid w:val="00774371"/>
    <w:rsid w:val="00777BDA"/>
    <w:rsid w:val="00781196"/>
    <w:rsid w:val="00782385"/>
    <w:rsid w:val="00793DC5"/>
    <w:rsid w:val="00794668"/>
    <w:rsid w:val="00795F3A"/>
    <w:rsid w:val="007A5323"/>
    <w:rsid w:val="007A5482"/>
    <w:rsid w:val="007A70F4"/>
    <w:rsid w:val="007B6ADE"/>
    <w:rsid w:val="007C3C99"/>
    <w:rsid w:val="007D00D0"/>
    <w:rsid w:val="007D0B1A"/>
    <w:rsid w:val="007D2F16"/>
    <w:rsid w:val="007D76C2"/>
    <w:rsid w:val="007E02B8"/>
    <w:rsid w:val="007E4F84"/>
    <w:rsid w:val="007E51BB"/>
    <w:rsid w:val="007E667D"/>
    <w:rsid w:val="007F2C6E"/>
    <w:rsid w:val="0080678B"/>
    <w:rsid w:val="00822104"/>
    <w:rsid w:val="00827AFF"/>
    <w:rsid w:val="00830B98"/>
    <w:rsid w:val="00830DFE"/>
    <w:rsid w:val="008310B6"/>
    <w:rsid w:val="00831B2C"/>
    <w:rsid w:val="00831C49"/>
    <w:rsid w:val="00843676"/>
    <w:rsid w:val="00845F60"/>
    <w:rsid w:val="00846619"/>
    <w:rsid w:val="0084779E"/>
    <w:rsid w:val="00850993"/>
    <w:rsid w:val="00850D9C"/>
    <w:rsid w:val="00852161"/>
    <w:rsid w:val="00852547"/>
    <w:rsid w:val="0085460A"/>
    <w:rsid w:val="00857C8A"/>
    <w:rsid w:val="008605E7"/>
    <w:rsid w:val="0086719F"/>
    <w:rsid w:val="00867F06"/>
    <w:rsid w:val="00871F6A"/>
    <w:rsid w:val="008739FD"/>
    <w:rsid w:val="00874299"/>
    <w:rsid w:val="0087718A"/>
    <w:rsid w:val="00877BDF"/>
    <w:rsid w:val="008810B3"/>
    <w:rsid w:val="00881B63"/>
    <w:rsid w:val="00884794"/>
    <w:rsid w:val="0088712B"/>
    <w:rsid w:val="00895E38"/>
    <w:rsid w:val="008A1368"/>
    <w:rsid w:val="008A3CAC"/>
    <w:rsid w:val="008A6EE5"/>
    <w:rsid w:val="008B5AD6"/>
    <w:rsid w:val="008C076F"/>
    <w:rsid w:val="008C2D4B"/>
    <w:rsid w:val="008C5240"/>
    <w:rsid w:val="008D13D1"/>
    <w:rsid w:val="008D25F5"/>
    <w:rsid w:val="008D26CA"/>
    <w:rsid w:val="008D2DF6"/>
    <w:rsid w:val="008D4B40"/>
    <w:rsid w:val="008D5602"/>
    <w:rsid w:val="008D6948"/>
    <w:rsid w:val="008D7F57"/>
    <w:rsid w:val="008E27A6"/>
    <w:rsid w:val="008F18B4"/>
    <w:rsid w:val="00905048"/>
    <w:rsid w:val="00910EA8"/>
    <w:rsid w:val="009121E8"/>
    <w:rsid w:val="00914F6B"/>
    <w:rsid w:val="009204FD"/>
    <w:rsid w:val="00925E3F"/>
    <w:rsid w:val="0093298E"/>
    <w:rsid w:val="00933097"/>
    <w:rsid w:val="00933882"/>
    <w:rsid w:val="009356D2"/>
    <w:rsid w:val="00945C83"/>
    <w:rsid w:val="00954754"/>
    <w:rsid w:val="009552CE"/>
    <w:rsid w:val="00960BAA"/>
    <w:rsid w:val="009637FE"/>
    <w:rsid w:val="00967986"/>
    <w:rsid w:val="009708CA"/>
    <w:rsid w:val="009751FA"/>
    <w:rsid w:val="00980D2D"/>
    <w:rsid w:val="009816B4"/>
    <w:rsid w:val="00982801"/>
    <w:rsid w:val="00982E6F"/>
    <w:rsid w:val="0099390C"/>
    <w:rsid w:val="009A17C8"/>
    <w:rsid w:val="009A2268"/>
    <w:rsid w:val="009A250B"/>
    <w:rsid w:val="009A4BFC"/>
    <w:rsid w:val="009A743F"/>
    <w:rsid w:val="009B7345"/>
    <w:rsid w:val="009B7D2B"/>
    <w:rsid w:val="009C02F2"/>
    <w:rsid w:val="009C071C"/>
    <w:rsid w:val="009C5129"/>
    <w:rsid w:val="009C781E"/>
    <w:rsid w:val="009D0ECB"/>
    <w:rsid w:val="009D46BF"/>
    <w:rsid w:val="009D6073"/>
    <w:rsid w:val="009E2C70"/>
    <w:rsid w:val="009E3831"/>
    <w:rsid w:val="009E409E"/>
    <w:rsid w:val="009F010E"/>
    <w:rsid w:val="009F1656"/>
    <w:rsid w:val="009F44C0"/>
    <w:rsid w:val="009F5CC8"/>
    <w:rsid w:val="00A01AA8"/>
    <w:rsid w:val="00A12BEC"/>
    <w:rsid w:val="00A153AA"/>
    <w:rsid w:val="00A155B0"/>
    <w:rsid w:val="00A23F20"/>
    <w:rsid w:val="00A24B1A"/>
    <w:rsid w:val="00A2646F"/>
    <w:rsid w:val="00A301E6"/>
    <w:rsid w:val="00A3776F"/>
    <w:rsid w:val="00A41B52"/>
    <w:rsid w:val="00A428DF"/>
    <w:rsid w:val="00A42911"/>
    <w:rsid w:val="00A45A2F"/>
    <w:rsid w:val="00A4697E"/>
    <w:rsid w:val="00A46A01"/>
    <w:rsid w:val="00A50F70"/>
    <w:rsid w:val="00A5221F"/>
    <w:rsid w:val="00A53106"/>
    <w:rsid w:val="00A53CE4"/>
    <w:rsid w:val="00A60A2C"/>
    <w:rsid w:val="00A62C04"/>
    <w:rsid w:val="00A659AB"/>
    <w:rsid w:val="00A65A2B"/>
    <w:rsid w:val="00A665E1"/>
    <w:rsid w:val="00A754AF"/>
    <w:rsid w:val="00A80404"/>
    <w:rsid w:val="00A82005"/>
    <w:rsid w:val="00A830EF"/>
    <w:rsid w:val="00A8428F"/>
    <w:rsid w:val="00A8492C"/>
    <w:rsid w:val="00A9441F"/>
    <w:rsid w:val="00A958CC"/>
    <w:rsid w:val="00A97AAB"/>
    <w:rsid w:val="00AA2A7E"/>
    <w:rsid w:val="00AA335F"/>
    <w:rsid w:val="00AB2789"/>
    <w:rsid w:val="00AB3994"/>
    <w:rsid w:val="00AB4707"/>
    <w:rsid w:val="00AC2828"/>
    <w:rsid w:val="00AC5B4C"/>
    <w:rsid w:val="00AC77E9"/>
    <w:rsid w:val="00AD154A"/>
    <w:rsid w:val="00AD588F"/>
    <w:rsid w:val="00AE09D8"/>
    <w:rsid w:val="00AF29DF"/>
    <w:rsid w:val="00AF7A1A"/>
    <w:rsid w:val="00B0538A"/>
    <w:rsid w:val="00B17FEC"/>
    <w:rsid w:val="00B22628"/>
    <w:rsid w:val="00B22D76"/>
    <w:rsid w:val="00B23A33"/>
    <w:rsid w:val="00B253A8"/>
    <w:rsid w:val="00B33027"/>
    <w:rsid w:val="00B3358C"/>
    <w:rsid w:val="00B36323"/>
    <w:rsid w:val="00B44155"/>
    <w:rsid w:val="00B45E00"/>
    <w:rsid w:val="00B53617"/>
    <w:rsid w:val="00B573AA"/>
    <w:rsid w:val="00B62450"/>
    <w:rsid w:val="00B65E8F"/>
    <w:rsid w:val="00B666BF"/>
    <w:rsid w:val="00B74E49"/>
    <w:rsid w:val="00B81F86"/>
    <w:rsid w:val="00B8381B"/>
    <w:rsid w:val="00B86163"/>
    <w:rsid w:val="00B920DA"/>
    <w:rsid w:val="00B9227B"/>
    <w:rsid w:val="00BA15D3"/>
    <w:rsid w:val="00BA2A7D"/>
    <w:rsid w:val="00BA6590"/>
    <w:rsid w:val="00BA6BE2"/>
    <w:rsid w:val="00BB2125"/>
    <w:rsid w:val="00BD0965"/>
    <w:rsid w:val="00BD3937"/>
    <w:rsid w:val="00BD4FEF"/>
    <w:rsid w:val="00BD678B"/>
    <w:rsid w:val="00BE3E39"/>
    <w:rsid w:val="00BE5E1E"/>
    <w:rsid w:val="00BE6445"/>
    <w:rsid w:val="00BF3E4D"/>
    <w:rsid w:val="00BF40EA"/>
    <w:rsid w:val="00BF6896"/>
    <w:rsid w:val="00BF78D6"/>
    <w:rsid w:val="00C009AC"/>
    <w:rsid w:val="00C06184"/>
    <w:rsid w:val="00C116FE"/>
    <w:rsid w:val="00C265E4"/>
    <w:rsid w:val="00C35991"/>
    <w:rsid w:val="00C45B10"/>
    <w:rsid w:val="00C5061D"/>
    <w:rsid w:val="00C53B04"/>
    <w:rsid w:val="00C54682"/>
    <w:rsid w:val="00C5561E"/>
    <w:rsid w:val="00C55B45"/>
    <w:rsid w:val="00C61DB8"/>
    <w:rsid w:val="00C623CC"/>
    <w:rsid w:val="00C627A9"/>
    <w:rsid w:val="00C67CC3"/>
    <w:rsid w:val="00C73DA1"/>
    <w:rsid w:val="00C828AB"/>
    <w:rsid w:val="00C92ECA"/>
    <w:rsid w:val="00C92EFE"/>
    <w:rsid w:val="00C9319A"/>
    <w:rsid w:val="00CA0973"/>
    <w:rsid w:val="00CA5DDE"/>
    <w:rsid w:val="00CA68B7"/>
    <w:rsid w:val="00CB2347"/>
    <w:rsid w:val="00CB4E04"/>
    <w:rsid w:val="00CB646B"/>
    <w:rsid w:val="00CB70DB"/>
    <w:rsid w:val="00CC0C42"/>
    <w:rsid w:val="00CC0C92"/>
    <w:rsid w:val="00CC1261"/>
    <w:rsid w:val="00CC1689"/>
    <w:rsid w:val="00CC743E"/>
    <w:rsid w:val="00CD386F"/>
    <w:rsid w:val="00CD6EA2"/>
    <w:rsid w:val="00CE7233"/>
    <w:rsid w:val="00CF14FE"/>
    <w:rsid w:val="00CF4DEE"/>
    <w:rsid w:val="00CF556F"/>
    <w:rsid w:val="00CF5D20"/>
    <w:rsid w:val="00D00B04"/>
    <w:rsid w:val="00D03777"/>
    <w:rsid w:val="00D1329C"/>
    <w:rsid w:val="00D15A70"/>
    <w:rsid w:val="00D17B09"/>
    <w:rsid w:val="00D237CD"/>
    <w:rsid w:val="00D24550"/>
    <w:rsid w:val="00D310D0"/>
    <w:rsid w:val="00D31110"/>
    <w:rsid w:val="00D40357"/>
    <w:rsid w:val="00D40D7B"/>
    <w:rsid w:val="00D422F5"/>
    <w:rsid w:val="00D42738"/>
    <w:rsid w:val="00D50B27"/>
    <w:rsid w:val="00D60795"/>
    <w:rsid w:val="00D61878"/>
    <w:rsid w:val="00D6385F"/>
    <w:rsid w:val="00D724C2"/>
    <w:rsid w:val="00D756D5"/>
    <w:rsid w:val="00D76AD5"/>
    <w:rsid w:val="00D802DD"/>
    <w:rsid w:val="00D807BA"/>
    <w:rsid w:val="00D82679"/>
    <w:rsid w:val="00D92704"/>
    <w:rsid w:val="00D96E38"/>
    <w:rsid w:val="00D979A6"/>
    <w:rsid w:val="00DA1DFB"/>
    <w:rsid w:val="00DA3E71"/>
    <w:rsid w:val="00DA498E"/>
    <w:rsid w:val="00DA5129"/>
    <w:rsid w:val="00DA5B57"/>
    <w:rsid w:val="00DB5F07"/>
    <w:rsid w:val="00DB6E4E"/>
    <w:rsid w:val="00DC242E"/>
    <w:rsid w:val="00DD13CC"/>
    <w:rsid w:val="00DD27DD"/>
    <w:rsid w:val="00DD6947"/>
    <w:rsid w:val="00DD72F2"/>
    <w:rsid w:val="00DD7421"/>
    <w:rsid w:val="00DD782B"/>
    <w:rsid w:val="00DE18F4"/>
    <w:rsid w:val="00DE2BB9"/>
    <w:rsid w:val="00DE63D6"/>
    <w:rsid w:val="00DE6DDF"/>
    <w:rsid w:val="00DE7378"/>
    <w:rsid w:val="00E1508F"/>
    <w:rsid w:val="00E23AD6"/>
    <w:rsid w:val="00E318C0"/>
    <w:rsid w:val="00E31EF0"/>
    <w:rsid w:val="00E32957"/>
    <w:rsid w:val="00E35EE6"/>
    <w:rsid w:val="00E36391"/>
    <w:rsid w:val="00E43C46"/>
    <w:rsid w:val="00E46025"/>
    <w:rsid w:val="00E54FDD"/>
    <w:rsid w:val="00E554FF"/>
    <w:rsid w:val="00E654B2"/>
    <w:rsid w:val="00E65BF5"/>
    <w:rsid w:val="00E65FF2"/>
    <w:rsid w:val="00E719DF"/>
    <w:rsid w:val="00E7482D"/>
    <w:rsid w:val="00E7518B"/>
    <w:rsid w:val="00E77831"/>
    <w:rsid w:val="00E825D7"/>
    <w:rsid w:val="00E8364C"/>
    <w:rsid w:val="00E86FB6"/>
    <w:rsid w:val="00E94CF3"/>
    <w:rsid w:val="00E95901"/>
    <w:rsid w:val="00EA1B12"/>
    <w:rsid w:val="00EA4733"/>
    <w:rsid w:val="00EB4E71"/>
    <w:rsid w:val="00EB545D"/>
    <w:rsid w:val="00EB6BCD"/>
    <w:rsid w:val="00EC358F"/>
    <w:rsid w:val="00EC4CA4"/>
    <w:rsid w:val="00EC629B"/>
    <w:rsid w:val="00EC769D"/>
    <w:rsid w:val="00ED2224"/>
    <w:rsid w:val="00ED56F4"/>
    <w:rsid w:val="00ED6941"/>
    <w:rsid w:val="00ED6C70"/>
    <w:rsid w:val="00EE5EA7"/>
    <w:rsid w:val="00EF2AF6"/>
    <w:rsid w:val="00EF42F9"/>
    <w:rsid w:val="00EF6BA7"/>
    <w:rsid w:val="00F02313"/>
    <w:rsid w:val="00F044CF"/>
    <w:rsid w:val="00F062FF"/>
    <w:rsid w:val="00F136E6"/>
    <w:rsid w:val="00F13854"/>
    <w:rsid w:val="00F13EAA"/>
    <w:rsid w:val="00F144E9"/>
    <w:rsid w:val="00F21A6C"/>
    <w:rsid w:val="00F253F2"/>
    <w:rsid w:val="00F26584"/>
    <w:rsid w:val="00F30A45"/>
    <w:rsid w:val="00F315A2"/>
    <w:rsid w:val="00F31EE0"/>
    <w:rsid w:val="00F32FFF"/>
    <w:rsid w:val="00F42A29"/>
    <w:rsid w:val="00F43596"/>
    <w:rsid w:val="00F51C19"/>
    <w:rsid w:val="00F5431A"/>
    <w:rsid w:val="00F621A5"/>
    <w:rsid w:val="00F75084"/>
    <w:rsid w:val="00F7619B"/>
    <w:rsid w:val="00F77FB7"/>
    <w:rsid w:val="00F81702"/>
    <w:rsid w:val="00F82CEE"/>
    <w:rsid w:val="00F935D8"/>
    <w:rsid w:val="00FA29B2"/>
    <w:rsid w:val="00FA4756"/>
    <w:rsid w:val="00FB3561"/>
    <w:rsid w:val="00FB4A7B"/>
    <w:rsid w:val="00FC06D8"/>
    <w:rsid w:val="00FC5058"/>
    <w:rsid w:val="00FC6F86"/>
    <w:rsid w:val="00FD2650"/>
    <w:rsid w:val="00FE13FF"/>
    <w:rsid w:val="00FE49F6"/>
    <w:rsid w:val="00FE5EC4"/>
    <w:rsid w:val="00FE7F95"/>
    <w:rsid w:val="00FF61D7"/>
    <w:rsid w:val="00FF7B13"/>
    <w:rsid w:val="00FF7B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ADD99C"/>
  <w15:docId w15:val="{05379720-2086-46A7-AC54-180D8894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184"/>
    <w:pPr>
      <w:spacing w:after="160" w:line="480" w:lineRule="auto"/>
      <w:jc w:val="both"/>
    </w:pPr>
    <w:rPr>
      <w:rFonts w:ascii="Times New Roman" w:eastAsia="Calibri" w:hAnsi="Times New Roman" w:cs="Arial"/>
      <w:sz w:val="24"/>
    </w:rPr>
  </w:style>
  <w:style w:type="paragraph" w:styleId="Judul1">
    <w:name w:val="heading 1"/>
    <w:basedOn w:val="Normal"/>
    <w:link w:val="Judul1KAR"/>
    <w:uiPriority w:val="9"/>
    <w:qFormat/>
    <w:rsid w:val="00C06184"/>
    <w:pPr>
      <w:widowControl w:val="0"/>
      <w:autoSpaceDE w:val="0"/>
      <w:autoSpaceDN w:val="0"/>
      <w:spacing w:after="0" w:line="240" w:lineRule="auto"/>
      <w:ind w:left="588"/>
      <w:outlineLvl w:val="0"/>
    </w:pPr>
    <w:rPr>
      <w:rFonts w:eastAsia="Times New Roman" w:cs="Times New Roman"/>
      <w:b/>
      <w:bCs/>
      <w:szCs w:val="24"/>
      <w:lang w:val="id"/>
    </w:rPr>
  </w:style>
  <w:style w:type="paragraph" w:styleId="Judul2">
    <w:name w:val="heading 2"/>
    <w:basedOn w:val="Normal"/>
    <w:link w:val="Judul2KAR"/>
    <w:uiPriority w:val="1"/>
    <w:qFormat/>
    <w:rsid w:val="00C06184"/>
    <w:pPr>
      <w:widowControl w:val="0"/>
      <w:autoSpaceDE w:val="0"/>
      <w:autoSpaceDN w:val="0"/>
      <w:spacing w:before="5" w:after="0" w:line="240" w:lineRule="auto"/>
      <w:ind w:left="588"/>
      <w:outlineLvl w:val="1"/>
    </w:pPr>
    <w:rPr>
      <w:rFonts w:eastAsia="Times New Roman" w:cs="Times New Roman"/>
      <w:b/>
      <w:bCs/>
      <w:i/>
      <w:szCs w:val="24"/>
      <w:lang w:val="id"/>
    </w:rPr>
  </w:style>
  <w:style w:type="paragraph" w:styleId="Judul3">
    <w:name w:val="heading 3"/>
    <w:basedOn w:val="Normal"/>
    <w:next w:val="Normal"/>
    <w:link w:val="Judul3KAR"/>
    <w:uiPriority w:val="9"/>
    <w:semiHidden/>
    <w:unhideWhenUsed/>
    <w:qFormat/>
    <w:rsid w:val="00616816"/>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E65BF5"/>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CF5D20"/>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CF5D20"/>
    <w:pPr>
      <w:tabs>
        <w:tab w:val="num" w:pos="4320"/>
      </w:tabs>
      <w:spacing w:before="240" w:after="60" w:line="240" w:lineRule="auto"/>
      <w:ind w:left="4320" w:hanging="720"/>
      <w:jc w:val="left"/>
      <w:outlineLvl w:val="5"/>
    </w:pPr>
    <w:rPr>
      <w:rFonts w:eastAsia="Times New Roman" w:cs="Times New Roman"/>
      <w:b/>
      <w:bCs/>
      <w:sz w:val="22"/>
    </w:rPr>
  </w:style>
  <w:style w:type="paragraph" w:styleId="Judul7">
    <w:name w:val="heading 7"/>
    <w:basedOn w:val="Normal"/>
    <w:next w:val="Normal"/>
    <w:link w:val="Judul7KAR"/>
    <w:uiPriority w:val="9"/>
    <w:semiHidden/>
    <w:unhideWhenUsed/>
    <w:qFormat/>
    <w:rsid w:val="00CF5D20"/>
    <w:pPr>
      <w:tabs>
        <w:tab w:val="num" w:pos="5040"/>
      </w:tabs>
      <w:spacing w:before="240" w:after="60" w:line="240" w:lineRule="auto"/>
      <w:ind w:left="5040" w:hanging="720"/>
      <w:jc w:val="left"/>
      <w:outlineLvl w:val="6"/>
    </w:pPr>
    <w:rPr>
      <w:rFonts w:asciiTheme="minorHAnsi" w:eastAsiaTheme="minorEastAsia" w:hAnsiTheme="minorHAnsi" w:cstheme="minorBidi"/>
      <w:szCs w:val="24"/>
    </w:rPr>
  </w:style>
  <w:style w:type="paragraph" w:styleId="Judul8">
    <w:name w:val="heading 8"/>
    <w:basedOn w:val="Normal"/>
    <w:next w:val="Normal"/>
    <w:link w:val="Judul8KAR"/>
    <w:uiPriority w:val="9"/>
    <w:semiHidden/>
    <w:unhideWhenUsed/>
    <w:qFormat/>
    <w:rsid w:val="00CF5D20"/>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rPr>
  </w:style>
  <w:style w:type="paragraph" w:styleId="Judul9">
    <w:name w:val="heading 9"/>
    <w:basedOn w:val="Normal"/>
    <w:next w:val="Normal"/>
    <w:link w:val="Judul9KAR"/>
    <w:uiPriority w:val="9"/>
    <w:semiHidden/>
    <w:unhideWhenUsed/>
    <w:qFormat/>
    <w:rsid w:val="00CF5D20"/>
    <w:pPr>
      <w:tabs>
        <w:tab w:val="num" w:pos="6480"/>
      </w:tabs>
      <w:spacing w:before="240" w:after="60" w:line="240" w:lineRule="auto"/>
      <w:ind w:left="6480" w:hanging="720"/>
      <w:jc w:val="left"/>
      <w:outlineLvl w:val="8"/>
    </w:pPr>
    <w:rPr>
      <w:rFonts w:asciiTheme="majorHAnsi" w:eastAsiaTheme="majorEastAsia" w:hAnsiTheme="majorHAnsi" w:cstheme="majorBidi"/>
      <w:sz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rsid w:val="00C06184"/>
    <w:pPr>
      <w:tabs>
        <w:tab w:val="center" w:pos="4680"/>
        <w:tab w:val="right" w:pos="9360"/>
      </w:tabs>
      <w:spacing w:after="0" w:line="240" w:lineRule="auto"/>
    </w:pPr>
  </w:style>
  <w:style w:type="character" w:customStyle="1" w:styleId="HeaderKAR">
    <w:name w:val="Header KAR"/>
    <w:basedOn w:val="FontParagrafDefault"/>
    <w:link w:val="Header"/>
    <w:uiPriority w:val="99"/>
    <w:rsid w:val="00C06184"/>
    <w:rPr>
      <w:rFonts w:ascii="Times New Roman" w:eastAsia="Calibri" w:hAnsi="Times New Roman" w:cs="Arial"/>
      <w:sz w:val="24"/>
    </w:rPr>
  </w:style>
  <w:style w:type="character" w:styleId="Hyperlink">
    <w:name w:val="Hyperlink"/>
    <w:basedOn w:val="FontParagrafDefault"/>
    <w:uiPriority w:val="99"/>
    <w:rsid w:val="00C06184"/>
    <w:rPr>
      <w:color w:val="0563C1"/>
      <w:u w:val="single"/>
    </w:rPr>
  </w:style>
  <w:style w:type="paragraph" w:styleId="TidakAdaSpasi">
    <w:name w:val="No Spacing"/>
    <w:link w:val="TidakAdaSpasiKAR"/>
    <w:uiPriority w:val="1"/>
    <w:qFormat/>
    <w:rsid w:val="00C06184"/>
    <w:pPr>
      <w:spacing w:line="240" w:lineRule="auto"/>
      <w:jc w:val="left"/>
    </w:pPr>
    <w:rPr>
      <w:rFonts w:eastAsiaTheme="minorEastAsia"/>
    </w:rPr>
  </w:style>
  <w:style w:type="character" w:customStyle="1" w:styleId="TidakAdaSpasiKAR">
    <w:name w:val="Tidak Ada Spasi KAR"/>
    <w:basedOn w:val="FontParagrafDefault"/>
    <w:link w:val="TidakAdaSpasi"/>
    <w:uiPriority w:val="1"/>
    <w:rsid w:val="00C06184"/>
    <w:rPr>
      <w:rFonts w:eastAsiaTheme="minorEastAsia"/>
    </w:rPr>
  </w:style>
  <w:style w:type="paragraph" w:styleId="Footer">
    <w:name w:val="footer"/>
    <w:basedOn w:val="Normal"/>
    <w:link w:val="FooterKAR"/>
    <w:uiPriority w:val="99"/>
    <w:unhideWhenUsed/>
    <w:rsid w:val="00C06184"/>
    <w:pPr>
      <w:tabs>
        <w:tab w:val="center" w:pos="4680"/>
        <w:tab w:val="right" w:pos="9360"/>
      </w:tabs>
      <w:spacing w:after="0" w:line="240" w:lineRule="auto"/>
    </w:pPr>
  </w:style>
  <w:style w:type="character" w:customStyle="1" w:styleId="FooterKAR">
    <w:name w:val="Footer KAR"/>
    <w:basedOn w:val="FontParagrafDefault"/>
    <w:link w:val="Footer"/>
    <w:uiPriority w:val="99"/>
    <w:rsid w:val="00C06184"/>
    <w:rPr>
      <w:rFonts w:ascii="Times New Roman" w:eastAsia="Calibri" w:hAnsi="Times New Roman" w:cs="Arial"/>
      <w:sz w:val="24"/>
    </w:rPr>
  </w:style>
  <w:style w:type="paragraph" w:styleId="TeksIsi">
    <w:name w:val="Body Text"/>
    <w:basedOn w:val="Normal"/>
    <w:link w:val="TeksIsiKAR"/>
    <w:uiPriority w:val="1"/>
    <w:qFormat/>
    <w:rsid w:val="00C06184"/>
    <w:pPr>
      <w:widowControl w:val="0"/>
      <w:autoSpaceDE w:val="0"/>
      <w:autoSpaceDN w:val="0"/>
      <w:spacing w:after="0" w:line="240" w:lineRule="auto"/>
      <w:ind w:left="588"/>
    </w:pPr>
    <w:rPr>
      <w:rFonts w:eastAsia="Times New Roman" w:cs="Times New Roman"/>
      <w:szCs w:val="24"/>
      <w:lang w:val="id"/>
    </w:rPr>
  </w:style>
  <w:style w:type="character" w:customStyle="1" w:styleId="TeksIsiKAR">
    <w:name w:val="Teks Isi KAR"/>
    <w:basedOn w:val="FontParagrafDefault"/>
    <w:link w:val="TeksIsi"/>
    <w:uiPriority w:val="1"/>
    <w:rsid w:val="00C06184"/>
    <w:rPr>
      <w:rFonts w:ascii="Times New Roman" w:eastAsia="Times New Roman" w:hAnsi="Times New Roman" w:cs="Times New Roman"/>
      <w:sz w:val="24"/>
      <w:szCs w:val="24"/>
      <w:lang w:val="id"/>
    </w:rPr>
  </w:style>
  <w:style w:type="paragraph" w:styleId="HTMLSudahDiformat">
    <w:name w:val="HTML Preformatted"/>
    <w:basedOn w:val="Normal"/>
    <w:link w:val="HTMLSudahDiformatKAR"/>
    <w:uiPriority w:val="99"/>
    <w:unhideWhenUsed/>
    <w:rsid w:val="00C06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C06184"/>
    <w:rPr>
      <w:rFonts w:ascii="Courier New" w:eastAsia="Times New Roman" w:hAnsi="Courier New" w:cs="Courier New"/>
      <w:sz w:val="20"/>
      <w:szCs w:val="20"/>
    </w:rPr>
  </w:style>
  <w:style w:type="character" w:customStyle="1" w:styleId="Judul1KAR">
    <w:name w:val="Judul 1 KAR"/>
    <w:basedOn w:val="FontParagrafDefault"/>
    <w:link w:val="Judul1"/>
    <w:uiPriority w:val="9"/>
    <w:rsid w:val="00C06184"/>
    <w:rPr>
      <w:rFonts w:ascii="Times New Roman" w:eastAsia="Times New Roman" w:hAnsi="Times New Roman" w:cs="Times New Roman"/>
      <w:b/>
      <w:bCs/>
      <w:sz w:val="24"/>
      <w:szCs w:val="24"/>
      <w:lang w:val="id"/>
    </w:rPr>
  </w:style>
  <w:style w:type="character" w:customStyle="1" w:styleId="Judul2KAR">
    <w:name w:val="Judul 2 KAR"/>
    <w:basedOn w:val="FontParagrafDefault"/>
    <w:link w:val="Judul2"/>
    <w:uiPriority w:val="1"/>
    <w:rsid w:val="00C06184"/>
    <w:rPr>
      <w:rFonts w:ascii="Times New Roman" w:eastAsia="Times New Roman" w:hAnsi="Times New Roman" w:cs="Times New Roman"/>
      <w:b/>
      <w:bCs/>
      <w:i/>
      <w:sz w:val="24"/>
      <w:szCs w:val="24"/>
      <w:lang w:val="id"/>
    </w:rPr>
  </w:style>
  <w:style w:type="paragraph" w:customStyle="1" w:styleId="TableParagraph">
    <w:name w:val="Table Paragraph"/>
    <w:basedOn w:val="Normal"/>
    <w:uiPriority w:val="1"/>
    <w:qFormat/>
    <w:rsid w:val="00C06184"/>
    <w:pPr>
      <w:widowControl w:val="0"/>
      <w:autoSpaceDE w:val="0"/>
      <w:autoSpaceDN w:val="0"/>
      <w:spacing w:after="0" w:line="240" w:lineRule="auto"/>
      <w:jc w:val="center"/>
    </w:pPr>
    <w:rPr>
      <w:rFonts w:eastAsia="Times New Roman" w:cs="Times New Roman"/>
      <w:sz w:val="22"/>
      <w:lang w:val="id"/>
    </w:rPr>
  </w:style>
  <w:style w:type="paragraph" w:styleId="Bibliografi">
    <w:name w:val="Bibliography"/>
    <w:basedOn w:val="Normal"/>
    <w:next w:val="Normal"/>
    <w:uiPriority w:val="37"/>
    <w:unhideWhenUsed/>
    <w:rsid w:val="00C06184"/>
    <w:pPr>
      <w:widowControl w:val="0"/>
      <w:autoSpaceDE w:val="0"/>
      <w:autoSpaceDN w:val="0"/>
      <w:spacing w:after="0" w:line="240" w:lineRule="auto"/>
      <w:jc w:val="left"/>
    </w:pPr>
    <w:rPr>
      <w:rFonts w:eastAsia="Times New Roman" w:cs="Times New Roman"/>
      <w:sz w:val="22"/>
      <w:lang w:val="id"/>
    </w:rPr>
  </w:style>
  <w:style w:type="paragraph" w:styleId="TeksBalon">
    <w:name w:val="Balloon Text"/>
    <w:basedOn w:val="Normal"/>
    <w:link w:val="TeksBalonKAR"/>
    <w:uiPriority w:val="99"/>
    <w:semiHidden/>
    <w:unhideWhenUsed/>
    <w:rsid w:val="00C0618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06184"/>
    <w:rPr>
      <w:rFonts w:ascii="Tahoma" w:eastAsia="Calibri" w:hAnsi="Tahoma" w:cs="Tahoma"/>
      <w:sz w:val="16"/>
      <w:szCs w:val="16"/>
    </w:rPr>
  </w:style>
  <w:style w:type="table" w:styleId="KisiTabel">
    <w:name w:val="Table Grid"/>
    <w:basedOn w:val="TabelNormal"/>
    <w:uiPriority w:val="59"/>
    <w:qFormat/>
    <w:rsid w:val="004074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
    <w:name w:val="Emphasis"/>
    <w:uiPriority w:val="20"/>
    <w:qFormat/>
    <w:rsid w:val="00874299"/>
    <w:rPr>
      <w:i/>
      <w:iCs/>
    </w:rPr>
  </w:style>
  <w:style w:type="paragraph" w:customStyle="1" w:styleId="Standard">
    <w:name w:val="Standard"/>
    <w:rsid w:val="0000685B"/>
    <w:pPr>
      <w:widowControl w:val="0"/>
      <w:suppressAutoHyphens/>
      <w:autoSpaceDN w:val="0"/>
      <w:spacing w:line="240" w:lineRule="auto"/>
      <w:jc w:val="left"/>
      <w:textAlignment w:val="baseline"/>
    </w:pPr>
    <w:rPr>
      <w:rFonts w:ascii="Arial" w:eastAsia="Arial" w:hAnsi="Arial" w:cs="Arial"/>
      <w:lang w:eastAsia="zh-CN" w:bidi="hi-IN"/>
    </w:rPr>
  </w:style>
  <w:style w:type="paragraph" w:styleId="DaftarParagraf">
    <w:name w:val="List Paragraph"/>
    <w:aliases w:val="Body of text,List Paragraph1,spasi 2 taiiii,kepala,Normal1,Normal11,normal,skripsi,Body Text Char1,Char Char2,List Paragraph2,heading 3,subBABI,UGEX'Z,skirpsi,gambar,List 5.2.1,List Paragraph Laporan,Heading 31,Heading 311,Heading 32"/>
    <w:basedOn w:val="Normal"/>
    <w:link w:val="DaftarParagrafKAR"/>
    <w:uiPriority w:val="1"/>
    <w:qFormat/>
    <w:rsid w:val="0000685B"/>
    <w:pPr>
      <w:spacing w:after="200" w:line="276" w:lineRule="auto"/>
      <w:ind w:left="720"/>
      <w:contextualSpacing/>
      <w:jc w:val="left"/>
    </w:pPr>
    <w:rPr>
      <w:rFonts w:asciiTheme="minorHAnsi" w:eastAsiaTheme="minorHAnsi" w:hAnsiTheme="minorHAnsi" w:cstheme="minorBidi"/>
      <w:sz w:val="22"/>
      <w:lang w:val="id-ID"/>
    </w:rPr>
  </w:style>
  <w:style w:type="character" w:styleId="ReferensiCatatanKaki">
    <w:name w:val="footnote reference"/>
    <w:basedOn w:val="FontParagrafDefault"/>
    <w:uiPriority w:val="99"/>
    <w:unhideWhenUsed/>
    <w:rsid w:val="0000685B"/>
    <w:rPr>
      <w:vertAlign w:val="superscript"/>
    </w:rPr>
  </w:style>
  <w:style w:type="paragraph" w:styleId="TeksCatatanKaki">
    <w:name w:val="footnote text"/>
    <w:basedOn w:val="Normal"/>
    <w:link w:val="TeksCatatanKakiKAR"/>
    <w:uiPriority w:val="99"/>
    <w:unhideWhenUsed/>
    <w:rsid w:val="0000685B"/>
    <w:pPr>
      <w:spacing w:after="0" w:line="240" w:lineRule="auto"/>
      <w:jc w:val="left"/>
    </w:pPr>
    <w:rPr>
      <w:rFonts w:asciiTheme="minorHAnsi" w:eastAsiaTheme="minorHAnsi" w:hAnsiTheme="minorHAnsi" w:cstheme="minorBidi"/>
      <w:sz w:val="20"/>
      <w:szCs w:val="20"/>
      <w:lang w:val="id-ID"/>
    </w:rPr>
  </w:style>
  <w:style w:type="character" w:customStyle="1" w:styleId="TeksCatatanKakiKAR">
    <w:name w:val="Teks Catatan Kaki KAR"/>
    <w:basedOn w:val="FontParagrafDefault"/>
    <w:link w:val="TeksCatatanKaki"/>
    <w:uiPriority w:val="99"/>
    <w:rsid w:val="0000685B"/>
    <w:rPr>
      <w:sz w:val="20"/>
      <w:szCs w:val="20"/>
      <w:lang w:val="id-ID"/>
    </w:rPr>
  </w:style>
  <w:style w:type="character" w:customStyle="1" w:styleId="DaftarParagrafKAR">
    <w:name w:val="Daftar Paragraf KAR"/>
    <w:aliases w:val="Body of text KAR,List Paragraph1 KAR,spasi 2 taiiii KAR,kepala KAR,Normal1 KAR,Normal11 KAR,normal KAR,skripsi KAR,Body Text Char1 KAR,Char Char2 KAR,List Paragraph2 KAR,heading 3 KAR,subBABI KAR,UGEX'Z KAR,skirpsi KAR,gambar KAR"/>
    <w:link w:val="DaftarParagraf"/>
    <w:uiPriority w:val="1"/>
    <w:qFormat/>
    <w:locked/>
    <w:rsid w:val="00196AD7"/>
    <w:rPr>
      <w:lang w:val="id-ID"/>
    </w:rPr>
  </w:style>
  <w:style w:type="paragraph" w:customStyle="1" w:styleId="Default">
    <w:name w:val="Default"/>
    <w:rsid w:val="00616816"/>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Judul3KAR">
    <w:name w:val="Judul 3 KAR"/>
    <w:basedOn w:val="FontParagrafDefault"/>
    <w:link w:val="Judul3"/>
    <w:uiPriority w:val="9"/>
    <w:semiHidden/>
    <w:rsid w:val="00616816"/>
    <w:rPr>
      <w:rFonts w:asciiTheme="majorHAnsi" w:eastAsiaTheme="majorEastAsia" w:hAnsiTheme="majorHAnsi" w:cstheme="majorBidi"/>
      <w:b/>
      <w:bCs/>
      <w:color w:val="4F81BD" w:themeColor="accent1"/>
      <w:sz w:val="24"/>
    </w:rPr>
  </w:style>
  <w:style w:type="paragraph" w:styleId="NormalWeb">
    <w:name w:val="Normal (Web)"/>
    <w:basedOn w:val="Normal"/>
    <w:uiPriority w:val="99"/>
    <w:unhideWhenUsed/>
    <w:rsid w:val="00616816"/>
    <w:pPr>
      <w:spacing w:before="100" w:beforeAutospacing="1" w:after="100" w:afterAutospacing="1" w:line="240" w:lineRule="auto"/>
      <w:jc w:val="left"/>
    </w:pPr>
    <w:rPr>
      <w:rFonts w:eastAsia="Times New Roman" w:cs="Times New Roman"/>
      <w:szCs w:val="24"/>
      <w:lang w:val="id-ID" w:eastAsia="id-ID"/>
    </w:rPr>
  </w:style>
  <w:style w:type="character" w:customStyle="1" w:styleId="Judul4KAR">
    <w:name w:val="Judul 4 KAR"/>
    <w:basedOn w:val="FontParagrafDefault"/>
    <w:link w:val="Judul4"/>
    <w:uiPriority w:val="9"/>
    <w:rsid w:val="00E65BF5"/>
    <w:rPr>
      <w:rFonts w:asciiTheme="majorHAnsi" w:eastAsiaTheme="majorEastAsia" w:hAnsiTheme="majorHAnsi" w:cstheme="majorBidi"/>
      <w:b/>
      <w:bCs/>
      <w:i/>
      <w:iCs/>
      <w:color w:val="4F81BD" w:themeColor="accent1"/>
      <w:sz w:val="24"/>
    </w:rPr>
  </w:style>
  <w:style w:type="paragraph" w:styleId="Keterangan">
    <w:name w:val="caption"/>
    <w:basedOn w:val="Normal"/>
    <w:next w:val="Normal"/>
    <w:uiPriority w:val="35"/>
    <w:unhideWhenUsed/>
    <w:qFormat/>
    <w:rsid w:val="007A5323"/>
    <w:pPr>
      <w:spacing w:line="259" w:lineRule="auto"/>
    </w:pPr>
    <w:rPr>
      <w:rFonts w:cs="Times New Roman"/>
      <w:b/>
      <w:bCs/>
      <w:sz w:val="20"/>
      <w:szCs w:val="20"/>
    </w:rPr>
  </w:style>
  <w:style w:type="character" w:customStyle="1" w:styleId="Judul5KAR">
    <w:name w:val="Judul 5 KAR"/>
    <w:basedOn w:val="FontParagrafDefault"/>
    <w:link w:val="Judul5"/>
    <w:uiPriority w:val="9"/>
    <w:semiHidden/>
    <w:rsid w:val="00CF5D20"/>
    <w:rPr>
      <w:rFonts w:eastAsiaTheme="minorEastAsia"/>
      <w:b/>
      <w:bCs/>
      <w:i/>
      <w:iCs/>
      <w:sz w:val="26"/>
      <w:szCs w:val="26"/>
    </w:rPr>
  </w:style>
  <w:style w:type="character" w:customStyle="1" w:styleId="Judul6KAR">
    <w:name w:val="Judul 6 KAR"/>
    <w:basedOn w:val="FontParagrafDefault"/>
    <w:link w:val="Judul6"/>
    <w:rsid w:val="00CF5D20"/>
    <w:rPr>
      <w:rFonts w:ascii="Times New Roman" w:eastAsia="Times New Roman" w:hAnsi="Times New Roman" w:cs="Times New Roman"/>
      <w:b/>
      <w:bCs/>
    </w:rPr>
  </w:style>
  <w:style w:type="character" w:customStyle="1" w:styleId="Judul7KAR">
    <w:name w:val="Judul 7 KAR"/>
    <w:basedOn w:val="FontParagrafDefault"/>
    <w:link w:val="Judul7"/>
    <w:uiPriority w:val="9"/>
    <w:semiHidden/>
    <w:rsid w:val="00CF5D20"/>
    <w:rPr>
      <w:rFonts w:eastAsiaTheme="minorEastAsia"/>
      <w:sz w:val="24"/>
      <w:szCs w:val="24"/>
    </w:rPr>
  </w:style>
  <w:style w:type="character" w:customStyle="1" w:styleId="Judul8KAR">
    <w:name w:val="Judul 8 KAR"/>
    <w:basedOn w:val="FontParagrafDefault"/>
    <w:link w:val="Judul8"/>
    <w:uiPriority w:val="9"/>
    <w:semiHidden/>
    <w:rsid w:val="00CF5D20"/>
    <w:rPr>
      <w:rFonts w:eastAsiaTheme="minorEastAsia"/>
      <w:i/>
      <w:iCs/>
      <w:sz w:val="24"/>
      <w:szCs w:val="24"/>
    </w:rPr>
  </w:style>
  <w:style w:type="character" w:customStyle="1" w:styleId="Judul9KAR">
    <w:name w:val="Judul 9 KAR"/>
    <w:basedOn w:val="FontParagrafDefault"/>
    <w:link w:val="Judul9"/>
    <w:uiPriority w:val="9"/>
    <w:semiHidden/>
    <w:rsid w:val="00CF5D20"/>
    <w:rPr>
      <w:rFonts w:asciiTheme="majorHAnsi" w:eastAsiaTheme="majorEastAsia" w:hAnsiTheme="majorHAnsi" w:cstheme="majorBidi"/>
    </w:rPr>
  </w:style>
  <w:style w:type="paragraph" w:styleId="IndenTeksIsi">
    <w:name w:val="Body Text Indent"/>
    <w:basedOn w:val="Normal"/>
    <w:link w:val="IndenTeksIsiKAR"/>
    <w:uiPriority w:val="99"/>
    <w:unhideWhenUsed/>
    <w:rsid w:val="00CF5D20"/>
    <w:pPr>
      <w:spacing w:after="120"/>
      <w:ind w:left="283"/>
    </w:pPr>
    <w:rPr>
      <w:noProof/>
      <w:lang w:val="id-ID"/>
    </w:rPr>
  </w:style>
  <w:style w:type="character" w:customStyle="1" w:styleId="IndenTeksIsiKAR">
    <w:name w:val="Inden Teks Isi KAR"/>
    <w:basedOn w:val="FontParagrafDefault"/>
    <w:link w:val="IndenTeksIsi"/>
    <w:uiPriority w:val="99"/>
    <w:rsid w:val="00CF5D20"/>
    <w:rPr>
      <w:rFonts w:ascii="Times New Roman" w:eastAsia="Calibri" w:hAnsi="Times New Roman" w:cs="Arial"/>
      <w:noProof/>
      <w:sz w:val="24"/>
      <w:lang w:val="id-ID"/>
    </w:rPr>
  </w:style>
  <w:style w:type="character" w:customStyle="1" w:styleId="UnresolvedMention1">
    <w:name w:val="Unresolved Mention1"/>
    <w:basedOn w:val="FontParagrafDefault"/>
    <w:uiPriority w:val="99"/>
    <w:semiHidden/>
    <w:unhideWhenUsed/>
    <w:rsid w:val="00CF5D20"/>
    <w:rPr>
      <w:color w:val="605E5C"/>
      <w:shd w:val="clear" w:color="auto" w:fill="E1DFDD"/>
    </w:rPr>
  </w:style>
  <w:style w:type="paragraph" w:styleId="Judul">
    <w:name w:val="Title"/>
    <w:basedOn w:val="Normal"/>
    <w:link w:val="JudulKAR"/>
    <w:uiPriority w:val="10"/>
    <w:qFormat/>
    <w:rsid w:val="00DD782B"/>
    <w:pPr>
      <w:widowControl w:val="0"/>
      <w:autoSpaceDE w:val="0"/>
      <w:autoSpaceDN w:val="0"/>
      <w:spacing w:after="0" w:line="240" w:lineRule="auto"/>
      <w:ind w:left="115"/>
      <w:jc w:val="left"/>
    </w:pPr>
    <w:rPr>
      <w:rFonts w:eastAsia="Times New Roman" w:cs="Times New Roman"/>
      <w:sz w:val="36"/>
      <w:szCs w:val="36"/>
    </w:rPr>
  </w:style>
  <w:style w:type="character" w:customStyle="1" w:styleId="JudulKAR">
    <w:name w:val="Judul KAR"/>
    <w:basedOn w:val="FontParagrafDefault"/>
    <w:link w:val="Judul"/>
    <w:uiPriority w:val="10"/>
    <w:rsid w:val="00DD782B"/>
    <w:rPr>
      <w:rFonts w:ascii="Times New Roman" w:eastAsia="Times New Roman" w:hAnsi="Times New Roman" w:cs="Times New Roman"/>
      <w:sz w:val="36"/>
      <w:szCs w:val="36"/>
    </w:rPr>
  </w:style>
  <w:style w:type="character" w:customStyle="1" w:styleId="SebutanYangBelumTerselesaikan1">
    <w:name w:val="Sebutan Yang Belum Terselesaikan1"/>
    <w:basedOn w:val="FontParagrafDefault"/>
    <w:uiPriority w:val="99"/>
    <w:semiHidden/>
    <w:unhideWhenUsed/>
    <w:rsid w:val="00665B73"/>
    <w:rPr>
      <w:color w:val="605E5C"/>
      <w:shd w:val="clear" w:color="auto" w:fill="E1DFDD"/>
    </w:rPr>
  </w:style>
  <w:style w:type="character" w:styleId="Kuat">
    <w:name w:val="Strong"/>
    <w:basedOn w:val="FontParagrafDefault"/>
    <w:uiPriority w:val="22"/>
    <w:qFormat/>
    <w:rsid w:val="00CC0C42"/>
    <w:rPr>
      <w:b/>
      <w:bCs/>
    </w:rPr>
  </w:style>
  <w:style w:type="table" w:customStyle="1" w:styleId="GridTable1Light11">
    <w:name w:val="Grid Table 1 Light11"/>
    <w:basedOn w:val="TabelNormal"/>
    <w:uiPriority w:val="46"/>
    <w:rsid w:val="009A2268"/>
    <w:pPr>
      <w:spacing w:line="240" w:lineRule="auto"/>
      <w:jc w:val="left"/>
    </w:pPr>
    <w:rPr>
      <w:rFonts w:ascii="Calibri" w:eastAsia="Calibri" w:hAnsi="Calibri" w:cs="Times New Roman"/>
      <w:sz w:val="20"/>
      <w:szCs w:val="20"/>
      <w:lang w:val="ru-RU"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elBiasa2">
    <w:name w:val="Plain Table 2"/>
    <w:basedOn w:val="TabelNormal"/>
    <w:uiPriority w:val="42"/>
    <w:rsid w:val="00E8364C"/>
    <w:pPr>
      <w:spacing w:line="240" w:lineRule="auto"/>
      <w:jc w:val="left"/>
    </w:pPr>
    <w:rPr>
      <w:kern w:val="2"/>
      <w:sz w:val="24"/>
      <w:szCs w:val="24"/>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elNormal"/>
    <w:next w:val="KisiTabel"/>
    <w:uiPriority w:val="59"/>
    <w:rsid w:val="00F935D8"/>
    <w:pPr>
      <w:spacing w:line="240" w:lineRule="auto"/>
      <w:jc w:val="left"/>
    </w:pPr>
    <w:rPr>
      <w:rFonts w:ascii="Calibri" w:eastAsia="Calibri" w:hAnsi="Calibri" w:cs="Times New Roman"/>
      <w:sz w:val="20"/>
      <w:szCs w:val="20"/>
      <w:lang w:val="en-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ensiKomentar">
    <w:name w:val="annotation reference"/>
    <w:basedOn w:val="FontParagrafDefault"/>
    <w:uiPriority w:val="99"/>
    <w:semiHidden/>
    <w:unhideWhenUsed/>
    <w:rsid w:val="005C3915"/>
    <w:rPr>
      <w:sz w:val="16"/>
      <w:szCs w:val="16"/>
    </w:rPr>
  </w:style>
  <w:style w:type="paragraph" w:styleId="TeksKomentar">
    <w:name w:val="annotation text"/>
    <w:basedOn w:val="Normal"/>
    <w:link w:val="TeksKomentarKAR"/>
    <w:uiPriority w:val="99"/>
    <w:semiHidden/>
    <w:unhideWhenUsed/>
    <w:rsid w:val="005C3915"/>
    <w:pPr>
      <w:spacing w:line="240" w:lineRule="auto"/>
    </w:pPr>
    <w:rPr>
      <w:sz w:val="20"/>
      <w:szCs w:val="20"/>
    </w:rPr>
  </w:style>
  <w:style w:type="character" w:customStyle="1" w:styleId="TeksKomentarKAR">
    <w:name w:val="Teks Komentar KAR"/>
    <w:basedOn w:val="FontParagrafDefault"/>
    <w:link w:val="TeksKomentar"/>
    <w:uiPriority w:val="99"/>
    <w:semiHidden/>
    <w:rsid w:val="005C3915"/>
    <w:rPr>
      <w:rFonts w:ascii="Times New Roman" w:eastAsia="Calibri" w:hAnsi="Times New Roman" w:cs="Arial"/>
      <w:sz w:val="20"/>
      <w:szCs w:val="20"/>
    </w:rPr>
  </w:style>
  <w:style w:type="paragraph" w:styleId="SubjekKomentar">
    <w:name w:val="annotation subject"/>
    <w:basedOn w:val="TeksKomentar"/>
    <w:next w:val="TeksKomentar"/>
    <w:link w:val="SubjekKomentarKAR"/>
    <w:uiPriority w:val="99"/>
    <w:semiHidden/>
    <w:unhideWhenUsed/>
    <w:rsid w:val="005C3915"/>
    <w:rPr>
      <w:b/>
      <w:bCs/>
    </w:rPr>
  </w:style>
  <w:style w:type="character" w:customStyle="1" w:styleId="SubjekKomentarKAR">
    <w:name w:val="Subjek Komentar KAR"/>
    <w:basedOn w:val="TeksKomentarKAR"/>
    <w:link w:val="SubjekKomentar"/>
    <w:uiPriority w:val="99"/>
    <w:semiHidden/>
    <w:rsid w:val="005C3915"/>
    <w:rPr>
      <w:rFonts w:ascii="Times New Roman" w:eastAsia="Calibri" w:hAnsi="Times New Roman" w:cs="Arial"/>
      <w:b/>
      <w:bCs/>
      <w:sz w:val="20"/>
      <w:szCs w:val="20"/>
    </w:rPr>
  </w:style>
  <w:style w:type="character" w:styleId="SebutanYangBelumTerselesaikan">
    <w:name w:val="Unresolved Mention"/>
    <w:basedOn w:val="FontParagrafDefault"/>
    <w:uiPriority w:val="99"/>
    <w:semiHidden/>
    <w:unhideWhenUsed/>
    <w:rsid w:val="005035E7"/>
    <w:rPr>
      <w:color w:val="605E5C"/>
      <w:shd w:val="clear" w:color="auto" w:fill="E1DFDD"/>
    </w:rPr>
  </w:style>
  <w:style w:type="paragraph" w:customStyle="1" w:styleId="BodyText">
    <w:name w:val="BodyText"/>
    <w:basedOn w:val="Normal"/>
    <w:qFormat/>
    <w:rsid w:val="005035E7"/>
    <w:pPr>
      <w:spacing w:after="0"/>
      <w:ind w:firstLine="567"/>
    </w:pPr>
    <w:rPr>
      <w:rFonts w:cs="Times New Roman"/>
      <w:kern w:val="1"/>
      <w:szCs w:val="24"/>
      <w:lang w:val="id-ID" w:eastAsia="ar-SA"/>
    </w:rPr>
  </w:style>
  <w:style w:type="table" w:customStyle="1" w:styleId="Table4">
    <w:name w:val="Table4"/>
    <w:basedOn w:val="TabelNormal"/>
    <w:rsid w:val="00CB70DB"/>
    <w:pPr>
      <w:jc w:val="left"/>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Table17">
    <w:name w:val="Table17"/>
    <w:basedOn w:val="TabelNormal"/>
    <w:rsid w:val="00CB70DB"/>
    <w:pPr>
      <w:jc w:val="left"/>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table" w:customStyle="1" w:styleId="Table18">
    <w:name w:val="Table18"/>
    <w:basedOn w:val="TabelNormal"/>
    <w:rsid w:val="00CB70DB"/>
    <w:pPr>
      <w:jc w:val="left"/>
    </w:pPr>
    <w:rPr>
      <w:rFonts w:ascii="Arial" w:eastAsia="Arial" w:hAnsi="Arial" w:cs="Arial"/>
      <w:lang w:val="en"/>
    </w:rPr>
    <w:tblPr>
      <w:tblStyleRowBandSize w:val="1"/>
      <w:tblStyleColBandSize w:val="1"/>
      <w:tblCellMar>
        <w:top w:w="100" w:type="dxa"/>
        <w:left w:w="100" w:type="dxa"/>
        <w:bottom w:w="100" w:type="dxa"/>
        <w:right w:w="100" w:type="dxa"/>
      </w:tblCellMar>
    </w:tblPr>
  </w:style>
  <w:style w:type="character" w:customStyle="1" w:styleId="selectable-text1">
    <w:name w:val="selectable-text1"/>
    <w:basedOn w:val="FontParagrafDefault"/>
    <w:rsid w:val="00510276"/>
  </w:style>
  <w:style w:type="table" w:customStyle="1" w:styleId="TableGrid2">
    <w:name w:val="Table Grid2"/>
    <w:basedOn w:val="TabelNormal"/>
    <w:next w:val="KisiTabel"/>
    <w:uiPriority w:val="59"/>
    <w:rsid w:val="00EC629B"/>
    <w:pPr>
      <w:spacing w:line="240" w:lineRule="auto"/>
      <w:jc w:val="left"/>
    </w:pPr>
    <w:rPr>
      <w:kern w:val="2"/>
      <w:sz w:val="24"/>
      <w:szCs w:val="24"/>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1">
    <w:name w:val="Tabel 1"/>
    <w:basedOn w:val="Judul1"/>
    <w:next w:val="Judul1"/>
    <w:link w:val="Tabel1Char"/>
    <w:qFormat/>
    <w:rsid w:val="00E31EF0"/>
    <w:pPr>
      <w:widowControl/>
      <w:numPr>
        <w:numId w:val="61"/>
      </w:numPr>
      <w:autoSpaceDE/>
      <w:autoSpaceDN/>
      <w:spacing w:after="160" w:line="480" w:lineRule="auto"/>
      <w:jc w:val="center"/>
    </w:pPr>
    <w:rPr>
      <w:bCs w:val="0"/>
      <w:color w:val="365F91" w:themeColor="accent1" w:themeShade="BF"/>
      <w:sz w:val="40"/>
      <w:szCs w:val="40"/>
      <w:lang w:val="id-ID"/>
      <w14:ligatures w14:val="standardContextual"/>
    </w:rPr>
  </w:style>
  <w:style w:type="character" w:customStyle="1" w:styleId="Tabel1Char">
    <w:name w:val="Tabel 1 Char"/>
    <w:basedOn w:val="Judul1KAR"/>
    <w:link w:val="Tabel1"/>
    <w:rsid w:val="00E31EF0"/>
    <w:rPr>
      <w:rFonts w:ascii="Times New Roman" w:eastAsia="Times New Roman" w:hAnsi="Times New Roman" w:cs="Times New Roman"/>
      <w:b/>
      <w:bCs w:val="0"/>
      <w:color w:val="365F91" w:themeColor="accent1" w:themeShade="BF"/>
      <w:sz w:val="40"/>
      <w:szCs w:val="40"/>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2725">
      <w:bodyDiv w:val="1"/>
      <w:marLeft w:val="0"/>
      <w:marRight w:val="0"/>
      <w:marTop w:val="0"/>
      <w:marBottom w:val="0"/>
      <w:divBdr>
        <w:top w:val="none" w:sz="0" w:space="0" w:color="auto"/>
        <w:left w:val="none" w:sz="0" w:space="0" w:color="auto"/>
        <w:bottom w:val="none" w:sz="0" w:space="0" w:color="auto"/>
        <w:right w:val="none" w:sz="0" w:space="0" w:color="auto"/>
      </w:divBdr>
    </w:div>
    <w:div w:id="73820086">
      <w:bodyDiv w:val="1"/>
      <w:marLeft w:val="0"/>
      <w:marRight w:val="0"/>
      <w:marTop w:val="0"/>
      <w:marBottom w:val="0"/>
      <w:divBdr>
        <w:top w:val="none" w:sz="0" w:space="0" w:color="auto"/>
        <w:left w:val="none" w:sz="0" w:space="0" w:color="auto"/>
        <w:bottom w:val="none" w:sz="0" w:space="0" w:color="auto"/>
        <w:right w:val="none" w:sz="0" w:space="0" w:color="auto"/>
      </w:divBdr>
    </w:div>
    <w:div w:id="78600951">
      <w:bodyDiv w:val="1"/>
      <w:marLeft w:val="0"/>
      <w:marRight w:val="0"/>
      <w:marTop w:val="0"/>
      <w:marBottom w:val="0"/>
      <w:divBdr>
        <w:top w:val="none" w:sz="0" w:space="0" w:color="auto"/>
        <w:left w:val="none" w:sz="0" w:space="0" w:color="auto"/>
        <w:bottom w:val="none" w:sz="0" w:space="0" w:color="auto"/>
        <w:right w:val="none" w:sz="0" w:space="0" w:color="auto"/>
      </w:divBdr>
    </w:div>
    <w:div w:id="80571804">
      <w:bodyDiv w:val="1"/>
      <w:marLeft w:val="0"/>
      <w:marRight w:val="0"/>
      <w:marTop w:val="0"/>
      <w:marBottom w:val="0"/>
      <w:divBdr>
        <w:top w:val="none" w:sz="0" w:space="0" w:color="auto"/>
        <w:left w:val="none" w:sz="0" w:space="0" w:color="auto"/>
        <w:bottom w:val="none" w:sz="0" w:space="0" w:color="auto"/>
        <w:right w:val="none" w:sz="0" w:space="0" w:color="auto"/>
      </w:divBdr>
    </w:div>
    <w:div w:id="103962579">
      <w:bodyDiv w:val="1"/>
      <w:marLeft w:val="0"/>
      <w:marRight w:val="0"/>
      <w:marTop w:val="0"/>
      <w:marBottom w:val="0"/>
      <w:divBdr>
        <w:top w:val="none" w:sz="0" w:space="0" w:color="auto"/>
        <w:left w:val="none" w:sz="0" w:space="0" w:color="auto"/>
        <w:bottom w:val="none" w:sz="0" w:space="0" w:color="auto"/>
        <w:right w:val="none" w:sz="0" w:space="0" w:color="auto"/>
      </w:divBdr>
    </w:div>
    <w:div w:id="134222742">
      <w:bodyDiv w:val="1"/>
      <w:marLeft w:val="0"/>
      <w:marRight w:val="0"/>
      <w:marTop w:val="0"/>
      <w:marBottom w:val="0"/>
      <w:divBdr>
        <w:top w:val="none" w:sz="0" w:space="0" w:color="auto"/>
        <w:left w:val="none" w:sz="0" w:space="0" w:color="auto"/>
        <w:bottom w:val="none" w:sz="0" w:space="0" w:color="auto"/>
        <w:right w:val="none" w:sz="0" w:space="0" w:color="auto"/>
      </w:divBdr>
    </w:div>
    <w:div w:id="312099780">
      <w:bodyDiv w:val="1"/>
      <w:marLeft w:val="0"/>
      <w:marRight w:val="0"/>
      <w:marTop w:val="0"/>
      <w:marBottom w:val="0"/>
      <w:divBdr>
        <w:top w:val="none" w:sz="0" w:space="0" w:color="auto"/>
        <w:left w:val="none" w:sz="0" w:space="0" w:color="auto"/>
        <w:bottom w:val="none" w:sz="0" w:space="0" w:color="auto"/>
        <w:right w:val="none" w:sz="0" w:space="0" w:color="auto"/>
      </w:divBdr>
    </w:div>
    <w:div w:id="420685778">
      <w:bodyDiv w:val="1"/>
      <w:marLeft w:val="0"/>
      <w:marRight w:val="0"/>
      <w:marTop w:val="0"/>
      <w:marBottom w:val="0"/>
      <w:divBdr>
        <w:top w:val="none" w:sz="0" w:space="0" w:color="auto"/>
        <w:left w:val="none" w:sz="0" w:space="0" w:color="auto"/>
        <w:bottom w:val="none" w:sz="0" w:space="0" w:color="auto"/>
        <w:right w:val="none" w:sz="0" w:space="0" w:color="auto"/>
      </w:divBdr>
    </w:div>
    <w:div w:id="486746793">
      <w:bodyDiv w:val="1"/>
      <w:marLeft w:val="0"/>
      <w:marRight w:val="0"/>
      <w:marTop w:val="0"/>
      <w:marBottom w:val="0"/>
      <w:divBdr>
        <w:top w:val="none" w:sz="0" w:space="0" w:color="auto"/>
        <w:left w:val="none" w:sz="0" w:space="0" w:color="auto"/>
        <w:bottom w:val="none" w:sz="0" w:space="0" w:color="auto"/>
        <w:right w:val="none" w:sz="0" w:space="0" w:color="auto"/>
      </w:divBdr>
    </w:div>
    <w:div w:id="496925625">
      <w:bodyDiv w:val="1"/>
      <w:marLeft w:val="0"/>
      <w:marRight w:val="0"/>
      <w:marTop w:val="0"/>
      <w:marBottom w:val="0"/>
      <w:divBdr>
        <w:top w:val="none" w:sz="0" w:space="0" w:color="auto"/>
        <w:left w:val="none" w:sz="0" w:space="0" w:color="auto"/>
        <w:bottom w:val="none" w:sz="0" w:space="0" w:color="auto"/>
        <w:right w:val="none" w:sz="0" w:space="0" w:color="auto"/>
      </w:divBdr>
    </w:div>
    <w:div w:id="619261453">
      <w:bodyDiv w:val="1"/>
      <w:marLeft w:val="0"/>
      <w:marRight w:val="0"/>
      <w:marTop w:val="0"/>
      <w:marBottom w:val="0"/>
      <w:divBdr>
        <w:top w:val="none" w:sz="0" w:space="0" w:color="auto"/>
        <w:left w:val="none" w:sz="0" w:space="0" w:color="auto"/>
        <w:bottom w:val="none" w:sz="0" w:space="0" w:color="auto"/>
        <w:right w:val="none" w:sz="0" w:space="0" w:color="auto"/>
      </w:divBdr>
    </w:div>
    <w:div w:id="848645806">
      <w:bodyDiv w:val="1"/>
      <w:marLeft w:val="0"/>
      <w:marRight w:val="0"/>
      <w:marTop w:val="0"/>
      <w:marBottom w:val="0"/>
      <w:divBdr>
        <w:top w:val="none" w:sz="0" w:space="0" w:color="auto"/>
        <w:left w:val="none" w:sz="0" w:space="0" w:color="auto"/>
        <w:bottom w:val="none" w:sz="0" w:space="0" w:color="auto"/>
        <w:right w:val="none" w:sz="0" w:space="0" w:color="auto"/>
      </w:divBdr>
      <w:divsChild>
        <w:div w:id="414088205">
          <w:marLeft w:val="0"/>
          <w:marRight w:val="0"/>
          <w:marTop w:val="0"/>
          <w:marBottom w:val="0"/>
          <w:divBdr>
            <w:top w:val="none" w:sz="0" w:space="0" w:color="auto"/>
            <w:left w:val="none" w:sz="0" w:space="0" w:color="auto"/>
            <w:bottom w:val="none" w:sz="0" w:space="0" w:color="auto"/>
            <w:right w:val="none" w:sz="0" w:space="0" w:color="auto"/>
          </w:divBdr>
          <w:divsChild>
            <w:div w:id="774717702">
              <w:marLeft w:val="0"/>
              <w:marRight w:val="0"/>
              <w:marTop w:val="0"/>
              <w:marBottom w:val="0"/>
              <w:divBdr>
                <w:top w:val="none" w:sz="0" w:space="0" w:color="auto"/>
                <w:left w:val="none" w:sz="0" w:space="0" w:color="auto"/>
                <w:bottom w:val="none" w:sz="0" w:space="0" w:color="auto"/>
                <w:right w:val="none" w:sz="0" w:space="0" w:color="auto"/>
              </w:divBdr>
              <w:divsChild>
                <w:div w:id="11406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62">
      <w:bodyDiv w:val="1"/>
      <w:marLeft w:val="0"/>
      <w:marRight w:val="0"/>
      <w:marTop w:val="0"/>
      <w:marBottom w:val="0"/>
      <w:divBdr>
        <w:top w:val="none" w:sz="0" w:space="0" w:color="auto"/>
        <w:left w:val="none" w:sz="0" w:space="0" w:color="auto"/>
        <w:bottom w:val="none" w:sz="0" w:space="0" w:color="auto"/>
        <w:right w:val="none" w:sz="0" w:space="0" w:color="auto"/>
      </w:divBdr>
    </w:div>
    <w:div w:id="1198852090">
      <w:bodyDiv w:val="1"/>
      <w:marLeft w:val="0"/>
      <w:marRight w:val="0"/>
      <w:marTop w:val="0"/>
      <w:marBottom w:val="0"/>
      <w:divBdr>
        <w:top w:val="none" w:sz="0" w:space="0" w:color="auto"/>
        <w:left w:val="none" w:sz="0" w:space="0" w:color="auto"/>
        <w:bottom w:val="none" w:sz="0" w:space="0" w:color="auto"/>
        <w:right w:val="none" w:sz="0" w:space="0" w:color="auto"/>
      </w:divBdr>
    </w:div>
    <w:div w:id="1311400475">
      <w:bodyDiv w:val="1"/>
      <w:marLeft w:val="0"/>
      <w:marRight w:val="0"/>
      <w:marTop w:val="0"/>
      <w:marBottom w:val="0"/>
      <w:divBdr>
        <w:top w:val="none" w:sz="0" w:space="0" w:color="auto"/>
        <w:left w:val="none" w:sz="0" w:space="0" w:color="auto"/>
        <w:bottom w:val="none" w:sz="0" w:space="0" w:color="auto"/>
        <w:right w:val="none" w:sz="0" w:space="0" w:color="auto"/>
      </w:divBdr>
    </w:div>
    <w:div w:id="1724910067">
      <w:bodyDiv w:val="1"/>
      <w:marLeft w:val="0"/>
      <w:marRight w:val="0"/>
      <w:marTop w:val="0"/>
      <w:marBottom w:val="0"/>
      <w:divBdr>
        <w:top w:val="none" w:sz="0" w:space="0" w:color="auto"/>
        <w:left w:val="none" w:sz="0" w:space="0" w:color="auto"/>
        <w:bottom w:val="none" w:sz="0" w:space="0" w:color="auto"/>
        <w:right w:val="none" w:sz="0" w:space="0" w:color="auto"/>
      </w:divBdr>
    </w:div>
    <w:div w:id="1758866674">
      <w:bodyDiv w:val="1"/>
      <w:marLeft w:val="0"/>
      <w:marRight w:val="0"/>
      <w:marTop w:val="0"/>
      <w:marBottom w:val="0"/>
      <w:divBdr>
        <w:top w:val="none" w:sz="0" w:space="0" w:color="auto"/>
        <w:left w:val="none" w:sz="0" w:space="0" w:color="auto"/>
        <w:bottom w:val="none" w:sz="0" w:space="0" w:color="auto"/>
        <w:right w:val="none" w:sz="0" w:space="0" w:color="auto"/>
      </w:divBdr>
    </w:div>
    <w:div w:id="1866020269">
      <w:bodyDiv w:val="1"/>
      <w:marLeft w:val="0"/>
      <w:marRight w:val="0"/>
      <w:marTop w:val="0"/>
      <w:marBottom w:val="0"/>
      <w:divBdr>
        <w:top w:val="none" w:sz="0" w:space="0" w:color="auto"/>
        <w:left w:val="none" w:sz="0" w:space="0" w:color="auto"/>
        <w:bottom w:val="none" w:sz="0" w:space="0" w:color="auto"/>
        <w:right w:val="none" w:sz="0" w:space="0" w:color="auto"/>
      </w:divBdr>
    </w:div>
    <w:div w:id="2054109197">
      <w:bodyDiv w:val="1"/>
      <w:marLeft w:val="0"/>
      <w:marRight w:val="0"/>
      <w:marTop w:val="0"/>
      <w:marBottom w:val="0"/>
      <w:divBdr>
        <w:top w:val="none" w:sz="0" w:space="0" w:color="auto"/>
        <w:left w:val="none" w:sz="0" w:space="0" w:color="auto"/>
        <w:bottom w:val="none" w:sz="0" w:space="0" w:color="auto"/>
        <w:right w:val="none" w:sz="0" w:space="0" w:color="auto"/>
      </w:divBdr>
    </w:div>
    <w:div w:id="21445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ekha.21101@mhs.unesa.ac.i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sy_muchtar@trisakti.ac.id%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issn.brin.go.id/terbit/detail/20210617281787431"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issn.brin.go.id/terbit/detail/20210617281787431"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SHa10</b:Tag>
    <b:SourceType>JournalArticle</b:SourceType>
    <b:Guid>{687F4656-3ADC-4321-ABEB-3EF933AA1674}</b:Guid>
    <b:Author>
      <b:Author>
        <b:NameList>
          <b:Person>
            <b:Last>Hardanti</b:Last>
            <b:First>S.</b:First>
          </b:Person>
          <b:Person>
            <b:Last>Gunawan</b:Last>
            <b:First>B.</b:First>
          </b:Person>
        </b:NameList>
      </b:Author>
    </b:Author>
    <b:Title>Pengaruh size, likuiditas, profitabilitas, risiko, dan pertumbuhan penjualan terhadap struktur modal (studi empiris pada perusahaan manufaktur di BEI)</b:Title>
    <b:Year>2010</b:Year>
    <b:RefOrder>21</b:RefOrder>
  </b:Source>
  <b:Source>
    <b:Tag>Bri06</b:Tag>
    <b:SourceType>Book</b:SourceType>
    <b:Guid>{5F376B31-0388-4242-8AED-1D28523E3F3F}</b:Guid>
    <b:Title>Dasar-Dasar Manajemen Keuangan</b:Title>
    <b:Year>2006</b:Year>
    <b:Author>
      <b:Author>
        <b:NameList>
          <b:Person>
            <b:Last>Bringham</b:Last>
          </b:Person>
          <b:Person>
            <b:Last>F</b:Last>
            <b:First>Eugene</b:First>
          </b:Person>
          <b:Person>
            <b:Last>Houston</b:Last>
            <b:First>Joel</b:First>
            <b:Middle>F.</b:Middle>
          </b:Person>
        </b:NameList>
      </b:Author>
    </b:Author>
    <b:City>Jakarta</b:City>
    <b:Publisher>Salemba Empat</b:Publisher>
    <b:RefOrder>22</b:RefOrder>
  </b:Source>
  <b:Source>
    <b:Tag>Pri14</b:Tag>
    <b:SourceType>JournalArticle</b:SourceType>
    <b:Guid>{13E15A93-471A-490B-9FFB-6B653E806FFD}</b:Guid>
    <b:Title>Pengaruh struktur aktiva, tingkat pertumbuhan penjualan dan profitabilitas terhadap struktur modal (studi pada perusahaan tekstil dan garmen yang listing di BEI periode 2010-2012)</b:Title>
    <b:Year>2014</b:Year>
    <b:Author>
      <b:Author>
        <b:NameList>
          <b:Person>
            <b:Last>Priambodo</b:Last>
          </b:Person>
          <b:Person>
            <b:Last>Topowijono</b:Last>
          </b:Person>
          <b:Person>
            <b:Last>Azizah</b:Last>
          </b:Person>
        </b:NameList>
      </b:Author>
    </b:Author>
    <b:JournalName>Jurnal Administrasi Bisnis </b:JournalName>
    <b:Pages>Volume 9, Nomor 1</b:Pages>
    <b:RefOrder>23</b:RefOrder>
  </b:Source>
  <b:Source>
    <b:Tag>NiP19</b:Tag>
    <b:SourceType>JournalArticle</b:SourceType>
    <b:Guid>{B2AD5E6F-4805-4A2D-AE87-C0D2D898B9EF}</b:Guid>
    <b:Author>
      <b:Author>
        <b:NameList>
          <b:Person>
            <b:Last>Y.P</b:Last>
            <b:First>Ni</b:First>
            <b:Middle>Putu</b:Middle>
          </b:Person>
          <b:Person>
            <b:Last>C.</b:Last>
            <b:First>Made</b:First>
            <b:Middle>Reina</b:Middle>
          </b:Person>
        </b:NameList>
      </b:Author>
    </b:Author>
    <b:Title>Pengaruh profitabilitas, struktur aktiva, dan likuiditas terhadap struktur modal perusahaan subsektor konstruksi bangunan BEI</b:Title>
    <b:JournalName>E-Jurnal Manjajemen</b:JournalName>
    <b:Year>2019</b:Year>
    <b:Pages> Volume 8, Nomor7</b:Pages>
    <b:RefOrder>24</b:RefOrder>
  </b:Source>
  <b:Source>
    <b:Tag>SAr16</b:Tag>
    <b:SourceType>JournalArticle</b:SourceType>
    <b:Guid>{13CA761F-69ED-4283-8A33-D393DD6AA88B}</b:Guid>
    <b:Author>
      <b:Author>
        <b:NameList>
          <b:Person>
            <b:Last>Armelia</b:Last>
            <b:First>S.</b:First>
          </b:Person>
          <b:Person>
            <b:Last>Ruzikna</b:Last>
          </b:Person>
        </b:NameList>
      </b:Author>
    </b:Author>
    <b:Title>Pengaruh Ukuran Perusahaan, Profitabilitas, Likuiditas dan Struktur Aktiva terhadap Struktur Modal Perusahaan Manufaktur Go Public</b:Title>
    <b:JournalName>JOM FISIP</b:JournalName>
    <b:Year>2016</b:Year>
    <b:Pages>Volume 3, Nomor 2, 1-15</b:Pages>
    <b:RefOrder>25</b:RefOrder>
  </b:Source>
  <b:Source>
    <b:Tag>MHa00</b:Tag>
    <b:SourceType>Book</b:SourceType>
    <b:Guid>{9365E81D-C37A-4E7B-AB62-42DC079C6D97}</b:Guid>
    <b:Title>Analisis laporan keuangan (Cet. Ke-2)</b:Title>
    <b:Year>2000</b:Year>
    <b:Author>
      <b:Author>
        <b:NameList>
          <b:Person>
            <b:Last>Hanafi</b:Last>
            <b:First>M.</b:First>
          </b:Person>
          <b:Person>
            <b:Last>Halim</b:Last>
            <b:First>A.</b:First>
          </b:Person>
        </b:NameList>
      </b:Author>
    </b:Author>
    <b:RefOrder>26</b:RefOrder>
  </b:Source>
  <b:Source>
    <b:Tag>SYu11</b:Tag>
    <b:SourceType>JournalArticle</b:SourceType>
    <b:Guid>{4CE95582-D686-4646-B6FC-8425700FF2DE}</b:Guid>
    <b:Title>Pengujian pecking order theory: analisis faktor-faktor yang mempengaruhi struktur modal industri manufaktur di BEI periode setelah krisis moneter</b:Title>
    <b:Year>2011</b:Year>
    <b:Author>
      <b:Author>
        <b:NameList>
          <b:Person>
            <b:Last>Yuliati</b:Last>
            <b:First>S.</b:First>
          </b:Person>
        </b:NameList>
      </b:Author>
    </b:Author>
    <b:RefOrder>27</b:RefOrder>
  </b:Source>
  <b:Source>
    <b:Tag>BRi99</b:Tag>
    <b:SourceType>Book</b:SourceType>
    <b:Guid>{9A7B4AAA-3F78-481C-A31E-115889FC980F}</b:Guid>
    <b:Title>Dasar-dasar pembelanjaan perusahaan (Ed. Ke-4)</b:Title>
    <b:Year>1999</b:Year>
    <b:Author>
      <b:Author>
        <b:NameList>
          <b:Person>
            <b:Last>Riyanto</b:Last>
            <b:First>B.</b:First>
          </b:Person>
        </b:NameList>
      </b:Author>
    </b:Author>
    <b:City>Yogyakarta</b:City>
    <b:Publisher>BPFE</b:Publisher>
    <b:RefOrder>28</b:RefOrder>
  </b:Source>
  <b:Source>
    <b:Tag>AlH13</b:Tag>
    <b:SourceType>Book</b:SourceType>
    <b:Guid>{43E995CE-1B6C-4F34-A0BA-4624C47C497C}</b:Guid>
    <b:Author>
      <b:Author>
        <b:NameList>
          <b:Person>
            <b:Last>Jusup</b:Last>
            <b:First>Al</b:First>
            <b:Middle>Haryono</b:Middle>
          </b:Person>
        </b:NameList>
      </b:Author>
    </b:Author>
    <b:Title>Dasar-Dasar Akuntansi</b:Title>
    <b:Year>2013</b:Year>
    <b:City>Yogyakarta</b:City>
    <b:Publisher>Bagian Penerbitan Sekolah Tinggi Ilmu Ekonomi YKPN</b:Publisher>
    <b:RefOrder>29</b:RefOrder>
  </b:Source>
  <b:Source>
    <b:Tag>Art00</b:Tag>
    <b:SourceType>Book</b:SourceType>
    <b:Guid>{163BA8B9-718D-422C-A9F7-AD8B9E19F0E7}</b:Guid>
    <b:Author>
      <b:Author>
        <b:NameList>
          <b:Person>
            <b:Last>Keown</b:Last>
            <b:First>Arthur</b:First>
            <b:Middle>J.</b:Middle>
          </b:Person>
          <b:Person>
            <b:Last>al</b:Last>
            <b:First>et</b:First>
          </b:Person>
        </b:NameList>
      </b:Author>
    </b:Author>
    <b:Title>Dasar-Dasar Manajemen  Keuangan terj.</b:Title>
    <b:Year>2000</b:Year>
    <b:RefOrder>30</b:RefOrder>
  </b:Source>
  <b:Source>
    <b:Tag>Mar07</b:Tag>
    <b:SourceType>Book</b:SourceType>
    <b:Guid>{4852E029-2BA2-49D4-8B08-819229338A72}</b:Guid>
    <b:Author>
      <b:Author>
        <b:NameList>
          <b:Person>
            <b:Last>Martono</b:Last>
          </b:Person>
          <b:Person>
            <b:Last>Harjito</b:Last>
            <b:First>D.</b:First>
            <b:Middle>Agus</b:Middle>
          </b:Person>
        </b:NameList>
      </b:Author>
    </b:Author>
    <b:Title>Manajemen Keuangan,  cet. ke-6</b:Title>
    <b:Year>2007</b:Year>
    <b:City>Yogyakarta</b:City>
    <b:Publisher>Ekonesia</b:Publisher>
    <b:RefOrder>31</b:RefOrder>
  </b:Source>
  <b:Source>
    <b:Tag>Nap89</b:Tag>
    <b:SourceType>Book</b:SourceType>
    <b:Guid>{C58DB3CC-FA77-45D5-9F54-F853CC524533}</b:Guid>
    <b:Author>
      <b:Author>
        <b:NameList>
          <b:Person>
            <b:Last>Awat</b:Last>
            <b:First>Napa.I.</b:First>
          </b:Person>
          <b:Person>
            <b:Last>Muljadi</b:Last>
          </b:Person>
        </b:NameList>
      </b:Author>
    </b:Author>
    <b:Title>Keputusan-keputusan Keuangan Perusahaan</b:Title>
    <b:Year>1989</b:Year>
    <b:City>Yogyakarta</b:City>
    <b:Publisher>Liberty</b:Publisher>
    <b:RefOrder>32</b:RefOrder>
  </b:Source>
  <b:Source>
    <b:Tag>Sug16</b:Tag>
    <b:SourceType>Book</b:SourceType>
    <b:Guid>{39879664-6275-4979-B6D8-E4417FA2F633}</b:Guid>
    <b:Author>
      <b:Author>
        <b:NameList>
          <b:Person>
            <b:Last>Sugiyono</b:Last>
          </b:Person>
        </b:NameList>
      </b:Author>
    </b:Author>
    <b:Title>Metode Penelitian Kuantitatif, Kualitatif dan R&amp;D”</b:Title>
    <b:Year>2016</b:Year>
    <b:City>Bandung</b:City>
    <b:Publisher>CV Alfabeta</b:Publisher>
    <b:RefOrder>33</b:RefOrder>
  </b:Source>
  <b:Source>
    <b:Tag>Htt18</b:Tag>
    <b:SourceType>InternetSite</b:SourceType>
    <b:Guid>{BA6DDFAE-55A0-4A2D-90D4-22BB5BCCA3EC}</b:Guid>
    <b:Title>BRI Syariah</b:Title>
    <b:Year>2018</b:Year>
    <b:Author>
      <b:Author>
        <b:NameList>
          <b:Person>
            <b:Last>Syariah</b:Last>
            <b:First>BRI</b:First>
          </b:Person>
        </b:NameList>
      </b:Author>
    </b:Author>
    <b:InternetSiteTitle>BRI Syariah</b:InternetSiteTitle>
    <b:Month>Mei</b:Month>
    <b:YearAccessed>2020</b:YearAccessed>
    <b:MonthAccessed>Juli</b:MonthAccessed>
    <b:DayAccessed>31</b:DayAccessed>
    <b:URL>Https://www.brisyariah.co.id/</b:URL>
    <b:RefOrder>34</b:RefOrder>
  </b:Source>
  <b:Source>
    <b:Tag>BTP18</b:Tag>
    <b:SourceType>InternetSite</b:SourceType>
    <b:Guid>{E08508C3-E65D-4E8D-B7B0-666FC38EFA14}</b:Guid>
    <b:Author>
      <b:Author>
        <b:NameList>
          <b:Person>
            <b:Last>Syariah</b:Last>
            <b:First>BTPN</b:First>
          </b:Person>
        </b:NameList>
      </b:Author>
    </b:Author>
    <b:Title>BTPN Syariah</b:Title>
    <b:InternetSiteTitle>BTPN Syariah</b:InternetSiteTitle>
    <b:Year>2018</b:Year>
    <b:YearAccessed>2020</b:YearAccessed>
    <b:MonthAccessed>Juli</b:MonthAccessed>
    <b:DayAccessed>31</b:DayAccessed>
    <b:URL>https://www.btpnsyariah.com</b:URL>
    <b:RefOrder>35</b:RefOrder>
  </b:Source>
  <b:Source>
    <b:Tag>Pan18</b:Tag>
    <b:SourceType>InternetSite</b:SourceType>
    <b:Guid>{A9D79D58-B394-4757-9724-CBD24E812605}</b:Guid>
    <b:Author>
      <b:Author>
        <b:NameList>
          <b:Person>
            <b:Last>Syariah</b:Last>
            <b:First>Panin</b:First>
            <b:Middle>Bank</b:Middle>
          </b:Person>
        </b:NameList>
      </b:Author>
    </b:Author>
    <b:Title>Panin Bank Syariah</b:Title>
    <b:InternetSiteTitle>Panin Bank Syariah</b:InternetSiteTitle>
    <b:Year>2018</b:Year>
    <b:YearAccessed>2020</b:YearAccessed>
    <b:MonthAccessed>Juli</b:MonthAccessed>
    <b:DayAccessed>31</b:DayAccessed>
    <b:URL>https://www.paninbanksyariah.co.id</b:URL>
    <b:RefOrder>36</b:RefOrder>
  </b:Source>
  <b:Source>
    <b:Tag>Kur192</b:Tag>
    <b:SourceType>JournalArticle</b:SourceType>
    <b:Guid>{FDB676B6-1515-47BE-B210-31EDABEB9D08}</b:Guid>
    <b:Title>Transaksi E-Commerce Dalam Perspektif Islam</b:Title>
    <b:Year>2019</b:Year>
    <b:Author>
      <b:Author>
        <b:NameList>
          <b:Person>
            <b:Last>Kurniawati</b:Last>
            <b:First>Annisa</b:First>
            <b:Middle>Dwi</b:Middle>
          </b:Person>
        </b:NameList>
      </b:Author>
    </b:Author>
    <b:JournalName>Journal of Islamic Economic and Business</b:JournalName>
    <b:Pages>92</b:Pages>
    <b:Month>Januari-Juni</b:Month>
    <b:Volume>Volume 02, No. 01</b:Volume>
    <b:RefOrder>1</b:RefOrder>
  </b:Source>
  <b:Source>
    <b:Tag>Lok211</b:Tag>
    <b:SourceType>InternetSite</b:SourceType>
    <b:Guid>{C261524C-59D6-4140-A7CF-D30F0C40395C}</b:Guid>
    <b:Title>Pengguna Internet Di Indonesia 1998-Q2 2020</b:Title>
    <b:Year>2021</b:Year>
    <b:InternetSiteTitle>https://lokadata.beritagar.id/</b:InternetSiteTitle>
    <b:Month>November</b:Month>
    <b:Day>18</b:Day>
    <b:URL>https://lokadata.beritagar.id/</b:URL>
    <b:Author>
      <b:Author>
        <b:NameList>
          <b:Person>
            <b:Last>Lokadata</b:Last>
          </b:Person>
        </b:NameList>
      </b:Author>
    </b:Author>
    <b:RefOrder>2</b:RefOrder>
  </b:Source>
  <b:Source>
    <b:Tag>Dat221</b:Tag>
    <b:SourceType>InternetSite</b:SourceType>
    <b:Guid>{ACCE87ED-7193-45C1-9EEB-1E33F251DF21}</b:Guid>
    <b:Author>
      <b:Author>
        <b:NameList>
          <b:Person>
            <b:Last>Databoks</b:Last>
          </b:Person>
        </b:NameList>
      </b:Author>
    </b:Author>
    <b:Title>Ada 204,7 Juta Pengguna Internet di Indonesia Awal 2022</b:Title>
    <b:InternetSiteTitle>https://databoks.katadata.co.id/datapublish/2022/03/23/</b:InternetSiteTitle>
    <b:Year>2022</b:Year>
    <b:Month>April</b:Month>
    <b:Day>18</b:Day>
    <b:URL>https://databoks.katadata.co.id/datapublish/2022/03/23/</b:URL>
    <b:YearAccessed>2022</b:YearAccessed>
    <b:MonthAccessed>April</b:MonthAccessed>
    <b:DayAccessed>18</b:DayAccessed>
    <b:RefOrder>3</b:RefOrder>
  </b:Source>
  <b:Source>
    <b:Tag>Say181</b:Tag>
    <b:SourceType>JournalArticle</b:SourceType>
    <b:Guid>{9F811428-5B6C-45D0-8FF9-3AC242ECD5B8}</b:Guid>
    <b:Author>
      <b:Author>
        <b:NameList>
          <b:Person>
            <b:Last>Waras</b:Last>
            <b:First>Sayekti</b:First>
            <b:Middle>Nidya</b:Middle>
          </b:Person>
        </b:NameList>
      </b:Author>
    </b:Author>
    <b:Title>Tantangan Perkembangan Ekonomi Digital di Indonesia</b:Title>
    <b:InternetSiteTitle>Nidya Waras Sayekti, “Tantangan Perkembangan Ekonomi Digital di Indonesia”, Info Singkat,Vol. 10, No. 05, (Maret 2018), 20.</b:InternetSiteTitle>
    <b:Year>2018</b:Year>
    <b:JournalName> Info Singkat</b:JournalName>
    <b:Pages>20</b:Pages>
    <b:Volume>Vol. 10, No. 05</b:Volume>
    <b:RefOrder>5</b:RefOrder>
  </b:Source>
  <b:Source>
    <b:Tag>Bre21</b:Tag>
    <b:SourceType>JournalArticle</b:SourceType>
    <b:Guid>{E8AFDB58-38AB-4E10-96DA-773AA1495D42}</b:Guid>
    <b:Author>
      <b:Author>
        <b:NameList>
          <b:Person>
            <b:Last>Brenda R. Leonardo</b:Last>
            <b:First>Rudy</b:First>
            <b:Middle>S. Wenas dan Jane G. Poluan</b:Middle>
          </b:Person>
        </b:NameList>
      </b:Author>
    </b:Author>
    <b:Title>Pengaruh Kualitas Produk, Promosi Dan Harga Terhadap Kepuasan Pelanggan Di Marketplace Shopee Pada Saat Pandemi Covid-19</b:Title>
    <b:JournalName>Jurnal EMBA</b:JournalName>
    <b:Year>2021</b:Year>
    <b:Pages>1722</b:Pages>
    <b:Month>Juli</b:Month>
    <b:Volume>Vol. 9, No. 3</b:Volume>
    <b:RefOrder>6</b:RefOrder>
  </b:Source>
  <b:Source>
    <b:Tag>Phi08</b:Tag>
    <b:SourceType>Book</b:SourceType>
    <b:Guid>{71C6B8D3-4EE7-4945-82BE-B2A611029152}</b:Guid>
    <b:Title>Prinsip-Prinsip Pemasaran</b:Title>
    <b:Year>2008</b:Year>
    <b:Pages>266</b:Pages>
    <b:Author>
      <b:Author>
        <b:NameList>
          <b:Person>
            <b:Last>Philip Kotler</b:Last>
            <b:First>Gary</b:First>
            <b:Middle>Armstrong</b:Middle>
          </b:Person>
        </b:NameList>
      </b:Author>
    </b:Author>
    <b:City>Jakrata</b:City>
    <b:Publisher>Erlangga</b:Publisher>
    <b:RefOrder>9</b:RefOrder>
  </b:Source>
  <b:Source>
    <b:Tag>Dwi18</b:Tag>
    <b:SourceType>JournalArticle</b:SourceType>
    <b:Guid>{A502860E-EFE5-48AF-A639-CBE7368B9DFF}</b:Guid>
    <b:Title>Pengaruh Labelisasi Halal Terhadap Keputusan Pembelian Oleh Konsumen Muslim Terhadap Produk Makanan Di Kota Pekalongan</b:Title>
    <b:Year>2018</b:Year>
    <b:Author>
      <b:Author>
        <b:NameList>
          <b:Person>
            <b:Last>Dwi Edi Wibowo</b:Last>
            <b:First>Benny</b:First>
            <b:Middle>Diah Mandusari</b:Middle>
          </b:Person>
        </b:NameList>
      </b:Author>
    </b:Author>
    <b:JournalName>Indonesian Journal Of Halal</b:JournalName>
    <b:Pages>75</b:Pages>
    <b:Month>Oktober</b:Month>
    <b:RefOrder>10</b:RefOrder>
  </b:Source>
  <b:Source>
    <b:Tag>Kir16</b:Tag>
    <b:SourceType>Book</b:SourceType>
    <b:Guid>{D63AE5C8-D1D2-4B2E-A045-32ED7E514F4A}</b:Guid>
    <b:Author>
      <b:Author>
        <b:NameList>
          <b:Person>
            <b:Last>Kirchgeorg</b:Last>
            <b:First>Christoph</b:First>
            <b:Middle>Burmann dan Manfred</b:Middle>
          </b:Person>
        </b:NameList>
      </b:Author>
    </b:Author>
    <b:Title>Managing Negative Word-of-Mouth on Social Media Platforms</b:Title>
    <b:Year>2016</b:Year>
    <b:Pages>2</b:Pages>
    <b:City>Germany</b:City>
    <b:Publisher>Springer Gabler</b:Publisher>
    <b:RefOrder>11</b:RefOrder>
  </b:Source>
  <b:Source>
    <b:Tag>Elv17</b:Tag>
    <b:SourceType>Book</b:SourceType>
    <b:Guid>{D61326D8-9DE5-4B19-B8BE-EB2BDDFBDD2C}</b:Guid>
    <b:Author>
      <b:Author>
        <b:NameList>
          <b:Person>
            <b:Last>Elvira Ismagilova</b:Last>
            <b:First>Yogesh</b:First>
            <b:Middle>K. Dwivedi, Emma Slade, dan Michael D. Williams</b:Middle>
          </b:Person>
        </b:NameList>
      </b:Author>
    </b:Author>
    <b:Title>Electronic Word of Mouth (eWOM) in the Marketing Contex</b:Title>
    <b:Year>2017</b:Year>
    <b:City>Switzerland</b:City>
    <b:Publisher>Springer Nature</b:Publisher>
    <b:Pages>17</b:Pages>
    <b:RefOrder>12</b:RefOrder>
  </b:Source>
  <b:Source>
    <b:Tag>And</b:Tag>
    <b:SourceType>InternetSite</b:SourceType>
    <b:Guid>{AB841116-6769-4845-BDCF-A41176A24503}</b:Guid>
    <b:Author>
      <b:Author>
        <b:NameList>
          <b:Person>
            <b:Last>Finaka</b:Last>
            <b:First>Andrean</b:First>
            <b:Middle>W.</b:Middle>
          </b:Person>
        </b:NameList>
      </b:Author>
    </b:Author>
    <b:Title>Pengguna Internet di Indonesia Makin Tinggi</b:Title>
    <b:InternetSiteTitle>Indonesia Baik</b:InternetSiteTitle>
    <b:Year>2023</b:Year>
    <b:Month>Maret</b:Month>
    <b:Day>1</b:Day>
    <b:URL>https://indonesiabaik.id/</b:URL>
    <b:YearAccessed>2023</b:YearAccessed>
    <b:MonthAccessed>Sebtember</b:MonthAccessed>
    <b:DayAccessed>16</b:DayAccessed>
    <b:RefOrder>4</b:RefOrder>
  </b:Source>
  <b:Source>
    <b:Tag>ins21</b:Tag>
    <b:SourceType>InternetSite</b:SourceType>
    <b:Guid>{3102BFA6-CF57-46D2-B62D-C492943BCF26}</b:Guid>
    <b:Author>
      <b:Author>
        <b:NameList>
          <b:Person>
            <b:Last>iprice</b:Last>
          </b:Person>
        </b:NameList>
      </b:Author>
    </b:Author>
    <b:Title>Peta E‑Commerce Indonesia</b:Title>
    <b:InternetSiteTitle>Iprice</b:InternetSiteTitle>
    <b:URL>https://iprice.co.id/</b:URL>
    <b:YearAccessed>2021</b:YearAccessed>
    <b:MonthAccessed>September</b:MonthAccessed>
    <b:DayAccessed>12</b:DayAccessed>
    <b:RefOrder>7</b:RefOrder>
  </b:Source>
  <b:Source>
    <b:Tag>Bar23</b:Tag>
    <b:SourceType>InternetSite</b:SourceType>
    <b:Guid>{C4CFBFDA-20F8-483E-826E-CDCD4421957A}</b:Guid>
    <b:Title>Bard</b:Title>
    <b:Year>2023</b:Year>
    <b:Author>
      <b:Author>
        <b:NameList>
          <b:Person>
            <b:Last>Bard</b:Last>
          </b:Person>
        </b:NameList>
      </b:Author>
    </b:Author>
    <b:InternetSiteTitle>Bard</b:InternetSiteTitle>
    <b:Month>September</b:Month>
    <b:Day>15</b:Day>
    <b:URL>https://bard.google.com/</b:URL>
    <b:RefOrder>8</b:RefOrder>
  </b:Source>
  <b:Source>
    <b:Tag>Akh18</b:Tag>
    <b:SourceType>Book</b:SourceType>
    <b:Guid>{EEC30C91-1332-4DF6-B38E-49DF1BC8F3C0}</b:Guid>
    <b:Author>
      <b:Author>
        <b:NameList>
          <b:Person>
            <b:Last>Akhmad Farroh Hasan</b:Last>
          </b:Person>
        </b:NameList>
      </b:Author>
    </b:Author>
    <b:Title>Fiqh Muammalah dari Klasik hingga Kontemporer Teori dan Praktek</b:Title>
    <b:Year>2018</b:Year>
    <b:City>Malang</b:City>
    <b:Publisher>UIN-Maliki Press</b:Publisher>
    <b:Pages>131-136</b:Pages>
    <b:RefOrder>13</b:RefOrder>
  </b:Source>
  <b:Source>
    <b:Tag>Sap23</b:Tag>
    <b:SourceType>JournalArticle</b:SourceType>
    <b:Guid>{C852A19A-0E09-4D48-8C0D-A73707A7B38B}</b:Guid>
    <b:Title>Legalitas Transaksi Jual Beli Online Di Indonesia</b:Title>
    <b:Year>2023</b:Year>
    <b:Month>Februari</b:Month>
    <b:Author>
      <b:Author>
        <b:NameList>
          <b:Person>
            <b:Last>Saprida</b:Last>
            <b:First>Zuul</b:First>
            <b:Middle>Ftriani Umari, Fitri Raya</b:Middle>
          </b:Person>
        </b:NameList>
      </b:Author>
    </b:Author>
    <b:JournalName>Jurnal Pemikiran dan Pengembangan Ekonomi Syariah </b:JournalName>
    <b:Pages>320</b:Pages>
    <b:Volume>Vol. 8 No. 2</b:Volume>
    <b:DOI>https://doi.org/10.36908/esha.v8i2.668</b:DOI>
    <b:RefOrder>14</b:RefOrder>
  </b:Source>
  <b:Source>
    <b:Tag>Faz17</b:Tag>
    <b:SourceType>JournalArticle</b:SourceType>
    <b:Guid>{E7129FEE-8143-4D90-B861-B03D12FB0547}</b:Guid>
    <b:Author>
      <b:Author>
        <b:NameList>
          <b:Person>
            <b:Last>Fazrin</b:Last>
            <b:First>Tengku</b:First>
            <b:Middle>Putri Lindung Bulan dan Khairul</b:Middle>
          </b:Person>
        </b:NameList>
      </b:Author>
    </b:Author>
    <b:Title>TengkuPengaruh Label Halal dan Bonus dalam Kemasan terhadap Keputusan Pembelian pada Produk Kinder Joy pada Masyarakat Kota Langsa</b:Title>
    <b:Year>2017</b:Year>
    <b:JournalName>Jurnal Manajemen Dan Keuangan</b:JournalName>
    <b:Pages>732-733</b:Pages>
    <b:Month>November</b:Month>
    <b:Day>12</b:Day>
    <b:Volume>Vol. 6, No. 2</b:Volume>
    <b:RefOrder>15</b:RefOrder>
  </b:Source>
  <b:Source>
    <b:Tag>Kho221</b:Tag>
    <b:SourceType>InternetSite</b:SourceType>
    <b:Guid>{74E69A13-A70D-45D5-A668-4D0D750E1A60}</b:Guid>
    <b:Author>
      <b:Author>
        <b:NameList>
          <b:Person>
            <b:Last>Khoeron</b:Last>
            <b:First>Moh</b:First>
          </b:Person>
        </b:NameList>
      </b:Author>
    </b:Author>
    <b:Title>Catat, Ini Tarif Layanan Permohonan Sertifikasi Halal</b:Title>
    <b:InternetSiteTitle>Kementrian Agama Republik Indonesia</b:InternetSiteTitle>
    <b:Year>2022</b:Year>
    <b:Month>Maret</b:Month>
    <b:Day>16</b:Day>
    <b:URL>https://www.kemenag.go.id/</b:URL>
    <b:YearAccessed>2022</b:YearAccessed>
    <b:MonthAccessed>Juli</b:MonthAccessed>
    <b:DayAccessed>07</b:DayAccessed>
    <b:RefOrder>16</b:RefOrder>
  </b:Source>
  <b:Source>
    <b:Tag>Yul22</b:Tag>
    <b:SourceType>JournalArticle</b:SourceType>
    <b:Guid>{70420C94-72B8-4C57-B854-A6BBC6D051FE}</b:Guid>
    <b:Title>Pengaruh e-WoM (Electronic Word of Mouth) terhadap Keputusan Pembelian Kosmetik Halal di Shopee</b:Title>
    <b:Year>2022</b:Year>
    <b:Pages>60</b:Pages>
    <b:Author>
      <b:Author>
        <b:NameList>
          <b:Person>
            <b:Last>Yulindasari</b:Last>
            <b:First>Elsa</b:First>
            <b:Middle>Rizki, Khusnul Fikriyah</b:Middle>
          </b:Person>
        </b:NameList>
      </b:Author>
    </b:Author>
    <b:JournalName>Journal of Islamic Economics and Finance Studies</b:JournalName>
    <b:Month>Juni</b:Month>
    <b:Volume>Vol. 3, No. 1</b:Volume>
    <b:DOI>http://dx.doi.org/10.47700/jiefes.v3i1.4293  </b:DOI>
    <b:RefOrder>17</b:RefOrder>
  </b:Source>
  <b:Source>
    <b:Tag>Hwa09</b:Tag>
    <b:SourceType>JournalArticle</b:SourceType>
    <b:Guid>{F7260756-7C39-4F9A-A0C1-BDA4252B4151}</b:Guid>
    <b:Author>
      <b:Author>
        <b:NameList>
          <b:Person>
            <b:Last>Hwang.</b:Last>
            <b:First>Sun-Jae</b:First>
            <b:Middle>Doh and Jang-Sun</b:Middle>
          </b:Person>
        </b:NameList>
      </b:Author>
    </b:Author>
    <b:Title>How Consumers Evaluate eWOM (Electronic Word-of-Mouth)</b:Title>
    <b:JournalName>Cyber Psychology &amp; Behavior</b:JournalName>
    <b:Year>2009</b:Year>
    <b:Pages>193</b:Pages>
    <b:Volume> Vol. 12, No. 2</b:Volume>
    <b:RefOrder>18</b:RefOrder>
  </b:Source>
  <b:Source>
    <b:Tag>Har20</b:Tag>
    <b:SourceType>JournalArticle</b:SourceType>
    <b:Guid>{2F27F5FE-C688-46FE-A628-00E96FD97D3C}</b:Guid>
    <b:Author>
      <b:Author>
        <b:NameList>
          <b:Person>
            <b:Last>Hardoko.</b:Last>
          </b:Person>
        </b:NameList>
      </b:Author>
    </b:Author>
    <b:Title>Pengaruh e-WOM (Electronic Word of Mouth) Terhadap Keputusan Pembelian online di Daerah Istimewa Yogyakarta</b:Title>
    <b:JournalName>Jurnal Solusi</b:JournalName>
    <b:Year>2020</b:Year>
    <b:Pages>35-36.</b:Pages>
    <b:Month>Mei</b:Month>
    <b:Volume>Vol. 15, No. 1</b:Volume>
    <b:RefOrder>19</b:RefOrder>
  </b:Source>
  <b:Source>
    <b:Tag>Fir28</b:Tag>
    <b:SourceType>Book</b:SourceType>
    <b:Guid>{6262266D-0F96-4D64-81E4-D52E891D667E}</b:Guid>
    <b:Author>
      <b:Author>
        <b:NameList>
          <b:Person>
            <b:Last>Firmansyah</b:Last>
            <b:First>M.</b:First>
            <b:Middle>Anang</b:Middle>
          </b:Person>
        </b:NameList>
      </b:Author>
    </b:Author>
    <b:Title>Perilaku Konsumen Sikap dan Pemasaran</b:Title>
    <b:JournalName>M. Anang Firmansyah, Perilaku Konsumen Sikap dan Pemasaran, (Yogyakarta: Deepublish, 2018), 27-30.</b:JournalName>
    <b:Year>2018</b:Year>
    <b:Pages>27-30</b:Pages>
    <b:City>Yogyakarta</b:City>
    <b:Publisher>Deepublish</b:Publisher>
    <b:RefOrder>20</b:RefOrder>
  </b:Source>
  <b:Source>
    <b:Tag>Sug19</b:Tag>
    <b:SourceType>Book</b:SourceType>
    <b:Guid>{740896DE-9A6A-43E2-8F8B-EA69AE5192E4}</b:Guid>
    <b:Author>
      <b:Author>
        <b:Corporate>Sugiyono</b:Corporate>
      </b:Author>
    </b:Author>
    <b:Year>2019</b:Year>
    <b:City>Bandung</b:City>
    <b:Publisher>Alfabeta</b:Publisher>
    <b:Pages>126</b:Pages>
    <b:Title>Metodologi Penelitian Kuantitatif, Kualitatif dan R&amp;D</b:Title>
    <b:RefOrder>21</b:RefOrder>
  </b:Source>
  <b:Source>
    <b:Tag>AKU00</b:Tag>
    <b:SourceType>Book</b:SourceType>
    <b:Guid>{941B3A0B-7D5F-465B-926A-B0C2D61FA886}</b:Guid>
    <b:Title>AJJSJG BDJSBH</b:Title>
    <b:Year>2000</b:Year>
    <b:Author>
      <b:Author>
        <b:NameList>
          <b:Person>
            <b:Last>AKU</b:Last>
          </b:Person>
        </b:NameList>
      </b:Author>
    </b:Author>
    <b:City>JAKARTA</b:City>
    <b:Publisher>CENDAWASIH</b:Publisher>
    <b:RefOrder>38</b:RefOrder>
  </b:Source>
  <b:Source>
    <b:Tag>Placeholder1</b:Tag>
    <b:SourceType>Book</b:SourceType>
    <b:Guid>{7C47DC79-75CB-4FA6-ABEA-FA004FE4E02C}</b:Guid>
    <b:Author>
      <b:Author>
        <b:NameList>
          <b:Person>
            <b:Last>Firmansyah</b:Last>
            <b:First>M.</b:First>
            <b:Middle>Anang</b:Middle>
          </b:Person>
        </b:NameList>
      </b:Author>
    </b:Author>
    <b:Title>Perilaku Konsumen Sikap dan Pemasaran</b:Title>
    <b:JournalName>M. Anang Firmansyah, Perilaku Konsumen Sikap dan Pemasaran, (Yogyakarta: Deepublish, 2018), 27-30.</b:JournalName>
    <b:Year>20128</b:Year>
    <b:Pages>27-30</b:Pages>
    <b:City>Yogyakarta</b:City>
    <b:Publisher>Deepublish</b:Publisher>
    <b:RefOrder>20</b:RefOrder>
  </b:Source>
  <b:Source>
    <b:Tag>Mul21</b:Tag>
    <b:SourceType>JournalArticle</b:SourceType>
    <b:Guid>{CEC8715F-51BB-40F8-A17D-225E8B3CD2B4}</b:Guid>
    <b:Title>Faktor-Faktor yang Mempengaruhi Nilai Perusahaan</b:Title>
    <b:Year>2021</b:Year>
    <b:JournalName>Jurnal Kharisma</b:JournalName>
    <b:Pages>413-424</b:Pages>
    <b:Author>
      <b:Author>
        <b:NameList>
          <b:Person>
            <b:Last>Muliati</b:Last>
            <b:Middle>Kadek</b:Middle>
            <b:First>Ni</b:First>
          </b:Person>
          <b:Person>
            <b:Last>Sunarwijaya</b:Last>
            <b:First>I Ketut</b:First>
          </b:Person>
          <b:Person>
            <b:Last>Adiyandnya</b:Last>
            <b:Middle>Santana Putra</b:Middle>
            <b:First>Made</b:First>
          </b:Person>
        </b:NameList>
      </b:Author>
    </b:Author>
    <b:Volume>3</b:Volume>
    <b:Issue>1</b:Issue>
    <b:StandardNumber>2716-2710</b:StandardNumber>
    <b:RefOrder>1</b:RefOrder>
  </b:Source>
  <b:Source>
    <b:Tag>Ard231</b:Tag>
    <b:SourceType>JournalArticle</b:SourceType>
    <b:Guid>{8422EFD6-3AEB-4BEA-AEC6-E214794303BA}</b:Guid>
    <b:Title>Pengaruh Profitabilitas, Likuiditas, Leverage, dan Aktivitas terhadap Nilai Perusahaan yang dimoderasi Corporate Social Responsibility</b:Title>
    <b:JournalName>Jurnal Mahasiswa</b:JournalName>
    <b:Year>2023</b:Year>
    <b:Pages>212-236</b:Pages>
    <b:Author>
      <b:Author>
        <b:NameList>
          <b:Person>
            <b:Last>Ardian</b:Last>
            <b:First>Vicky</b:First>
          </b:Person>
          <b:Person>
            <b:Last>Wahyudi</b:Last>
            <b:First>Ickhsanto</b:First>
          </b:Person>
        </b:NameList>
      </b:Author>
    </b:Author>
    <b:Volume>5</b:Volume>
    <b:Issue>1</b:Issue>
    <b:StandardNumber>2962-2891</b:StandardNumber>
    <b:DOI>https://doi.org/10.51903/jurnalmahasiswa.v5i1.584</b:DOI>
    <b:RefOrder>2</b:RefOrder>
  </b:Source>
  <b:Source>
    <b:Tag>Yul20</b:Tag>
    <b:SourceType>JournalArticle</b:SourceType>
    <b:Guid>{2CB127C7-6A15-4DC4-8E5E-12894646F254}</b:Guid>
    <b:Title>Analisis Faktor-Faktor yang Mempengaruhi Nilai Perusahaan</b:Title>
    <b:JournalName>Jurnal Multiparadigma Akuntansi Tarumanagara</b:JournalName>
    <b:Year>2020</b:Year>
    <b:Pages>576 - 585</b:Pages>
    <b:Author>
      <b:Author>
        <b:NameList>
          <b:Person>
            <b:Last>Yulianto</b:Last>
          </b:Person>
          <b:Person>
            <b:Last>Widyasari</b:Last>
          </b:Person>
        </b:NameList>
      </b:Author>
    </b:Author>
    <b:Volume>2</b:Volume>
    <b:Issue>2</b:Issue>
    <b:DOI>https://doi.org/10.24912/jpa.v2i2.7622</b:DOI>
    <b:RefOrder>8</b:RefOrder>
  </b:Source>
  <b:Source>
    <b:Tag>Rac23</b:Tag>
    <b:SourceType>JournalArticle</b:SourceType>
    <b:Guid>{490CCDE5-50D3-409B-A332-9B664CB9A875}</b:Guid>
    <b:Title>Pengaruh Kinerja Keuangan dan Ukuran Perusahaan terhadap Tingkat Kesehatan Keuangan pada Masa Pandemi Covid 19</b:Title>
    <b:JournalName>Jurnal Ilmu dan Riset Akuntansi</b:JournalName>
    <b:Year>2023</b:Year>
    <b:Author>
      <b:Author>
        <b:NameList>
          <b:Person>
            <b:Last>Rachmawati</b:Last>
            <b:First>Eli</b:First>
          </b:Person>
          <b:Person>
            <b:Last>Amanah</b:Last>
            <b:First>Lailatul</b:First>
          </b:Person>
        </b:NameList>
      </b:Author>
    </b:Author>
    <b:Volume>12</b:Volume>
    <b:Issue>6</b:Issue>
    <b:RefOrder>4</b:RefOrder>
  </b:Source>
  <b:Source>
    <b:Tag>Fad221</b:Tag>
    <b:SourceType>JournalArticle</b:SourceType>
    <b:Guid>{8FFF38D7-8E1F-4F8B-8800-85E7ED9C7A0C}</b:Guid>
    <b:Title>Pengaruh Ukuran Perusahaan, Likuiditas, Leverage, dan Aktivitas terhadap Nilai Perusahaan</b:Title>
    <b:Year>2022</b:Year>
    <b:JournalName>Jurnal Ilmu dan Riset Manajemen</b:JournalName>
    <b:Pages>1-16</b:Pages>
    <b:Author>
      <b:Author>
        <b:NameList>
          <b:Person>
            <b:Last>Fadihillah</b:Last>
            <b:Middle>Adi Pramana Al</b:Middle>
            <b:First>Kevin</b:First>
          </b:Person>
          <b:Person>
            <b:Last>Utiyati</b:Last>
            <b:First>Sri</b:First>
          </b:Person>
        </b:NameList>
      </b:Author>
    </b:Author>
    <b:Volume>11</b:Volume>
    <b:Issue>9</b:Issue>
    <b:StandardNumber>2461-0593</b:StandardNumber>
    <b:RefOrder>9</b:RefOrder>
  </b:Source>
  <b:Source>
    <b:Tag>Kha12</b:Tag>
    <b:SourceType>JournalArticle</b:SourceType>
    <b:Guid>{C4F10BCB-E050-487F-A480-8F2CD49A29C6}</b:Guid>
    <b:Title>Analisis Tingkat Kesehatan Keuangan pada Perusahaan Semen Go Publik di Bursa Efek Indonesia</b:Title>
    <b:JournalName>Among Makarti</b:JournalName>
    <b:Year>2012</b:Year>
    <b:Author>
      <b:Author>
        <b:NameList>
          <b:Person>
            <b:Last>Khamidah</b:Last>
            <b:Middle>Nur</b:Middle>
            <b:First>Futkhatul</b:First>
          </b:Person>
          <b:Person>
            <b:Last>Afandi</b:Last>
            <b:First>Pandi</b:First>
          </b:Person>
        </b:NameList>
      </b:Author>
    </b:Author>
    <b:Volume>5</b:Volume>
    <b:Issue>9</b:Issue>
    <b:RefOrder>7</b:RefOrder>
  </b:Source>
  <b:Source>
    <b:Tag>Cha221</b:Tag>
    <b:SourceType>JournalArticle</b:SourceType>
    <b:Guid>{FB3E7541-4CEA-4653-9705-3D433C937B5D}</b:Guid>
    <b:Title>Efek Profitabilitas, Financial Leverage dan Likuiditas terhadap Nilai Perusahaan dengan Financial Distress dan Earning Management sebagai Variabel Intervening</b:Title>
    <b:JournalName>SEIKO: Journal of Management &amp; Business</b:JournalName>
    <b:Year>2022</b:Year>
    <b:Pages>282-295</b:Pages>
    <b:Author>
      <b:Author>
        <b:NameList>
          <b:Person>
            <b:Last>Chalid</b:Last>
            <b:First>Lukman</b:First>
          </b:Person>
          <b:Person>
            <b:Last>Kalsum</b:Last>
            <b:First>Ummu</b:First>
          </b:Person>
          <b:Person>
            <b:Last>Pelu</b:Last>
            <b:Middle>Faisal AR</b:Middle>
            <b:First>Muhammad</b:First>
          </b:Person>
        </b:NameList>
      </b:Author>
    </b:Author>
    <b:Volume>5</b:Volume>
    <b:Issue>1</b:Issue>
    <b:StandardNumber>2598-8301</b:StandardNumber>
    <b:DOI>10.37531/sejaman.v5i1.1623</b:DOI>
    <b:RefOrder>14</b:RefOrder>
  </b:Source>
  <b:Source>
    <b:Tag>Fit20</b:Tag>
    <b:SourceType>JournalArticle</b:SourceType>
    <b:Guid>{96289622-EB85-4B13-BD5E-1B131571736C}</b:Guid>
    <b:Title>Pengaruh Likuiditas, Aktivitas, Profitabilitas, dan Leverage terhadap Financial Distress (Studi Kasus pada Perusahaan Manufaktur yang terdaftar di Bursa Efek Indonesia Periode 2014-2018)</b:Title>
    <b:JournalName>Jurnal EcoGen</b:JournalName>
    <b:Year>2020</b:Year>
    <b:Pages>134-143</b:Pages>
    <b:Author>
      <b:Author>
        <b:NameList>
          <b:Person>
            <b:Last>Fitri</b:Last>
            <b:Middle>Amelia</b:Middle>
            <b:First>Rahmadona</b:First>
          </b:Person>
          <b:Person>
            <b:First>Syamwil</b:First>
          </b:Person>
        </b:NameList>
      </b:Author>
    </b:Author>
    <b:Volume>3</b:Volume>
    <b:Issue>1</b:Issue>
    <b:StandardNumber>2654-8429</b:StandardNumber>
    <b:DOI>http://dx.doi.org/10.24036/jmpe.v3i1.8532</b:DOI>
    <b:RefOrder>10</b:RefOrder>
  </b:Source>
  <b:Source>
    <b:Tag>Fit241</b:Tag>
    <b:SourceType>JournalArticle</b:SourceType>
    <b:Guid>{5EF4F84F-D845-4C75-8E9D-DEF723BA2918}</b:Guid>
    <b:Title>Pengaruh Rasio Profitabilitas, Aktivitas, Leverage, dan Arus Kas terhadap Financial Distress pada Perusahaan Manufaktur</b:Title>
    <b:JournalName>WIJOB: Widya Dharma Journal of Business</b:JournalName>
    <b:Year>2024</b:Year>
    <b:Pages>43-55</b:Pages>
    <b:Author>
      <b:Author>
        <b:NameList>
          <b:Person>
            <b:Last>Fitriyani</b:Last>
            <b:First>Dona</b:First>
          </b:Person>
          <b:Person>
            <b:Last>Kuntaryanto</b:Last>
            <b:First>Oki</b:First>
          </b:Person>
          <b:Person>
            <b:First>Susyanti</b:First>
          </b:Person>
        </b:NameList>
      </b:Author>
    </b:Author>
    <b:Volume>3</b:Volume>
    <b:Issue>1</b:Issue>
    <b:DOI>10.54840/wijob.v3i1.247</b:DOI>
    <b:RefOrder>19</b:RefOrder>
  </b:Source>
  <b:Source>
    <b:Tag>Ala23</b:Tag>
    <b:SourceType>JournalArticle</b:SourceType>
    <b:Guid>{25715301-BE7C-422D-AAB0-D80DAECF9CDC}</b:Guid>
    <b:Title>Pengaruh Kinerja Keuangan terhadap Nilai Perusahaan dengan Financial Distress sebagai Variabel Intervening pada Perusahaan Property yang terdaftar di Bursa Efek Indonesia</b:Title>
    <b:JournalName>SEIKO : Journal of Management &amp; Business</b:JournalName>
    <b:Year>2023</b:Year>
    <b:Pages>365-372</b:Pages>
    <b:Volume>6</b:Volume>
    <b:Issue>1</b:Issue>
    <b:StandardNumber>2598-8301</b:StandardNumber>
    <b:DOI>https://doi.org/10.37531/sejaman.v6i1.4420</b:DOI>
    <b:Author>
      <b:Author>
        <b:NameList>
          <b:Person>
            <b:Last>Alam</b:Last>
            <b:First>Nur</b:First>
          </b:Person>
          <b:Person>
            <b:First>Suriyanti</b:First>
          </b:Person>
          <b:Person>
            <b:Last>Serang</b:Last>
            <b:First>Serlin</b:First>
          </b:Person>
        </b:NameList>
      </b:Author>
    </b:Author>
    <b:RefOrder>28</b:RefOrder>
  </b:Source>
  <b:Source>
    <b:Tag>Har22</b:Tag>
    <b:SourceType>JournalArticle</b:SourceType>
    <b:Guid>{48C95265-AB1D-4E97-9F26-308B9C9CCB03}</b:Guid>
    <b:Title>Pengaruh Kinerja Keuangan terhadap Nilai Perusahaan dengan Financial Distress sebagai Variabel Intervening pada Perusahaan Property yang terdaftar di Bursa Efek Indonesia</b:Title>
    <b:JournalName>Jurnal Mirai Management</b:JournalName>
    <b:Year>2022</b:Year>
    <b:Pages>361-371</b:Pages>
    <b:Author>
      <b:Author>
        <b:NameList>
          <b:Person>
            <b:Last>Haryani</b:Last>
            <b:First>Andi</b:First>
          </b:Person>
          <b:Person>
            <b:Last>Semmaila</b:Last>
            <b:First>Baharuddin</b:First>
          </b:Person>
          <b:Person>
            <b:Last>Arfah</b:Last>
            <b:First>Aryati</b:First>
          </b:Person>
          <b:Person>
            <b:First>Arifin</b:First>
          </b:Person>
        </b:NameList>
      </b:Author>
    </b:Author>
    <b:Volume>7</b:Volume>
    <b:Issue>3</b:Issue>
    <b:StandardNumber>2598-8301</b:StandardNumber>
    <b:DOI>10.37531/mirai.v7i3.4589</b:DOI>
    <b:RefOrder>18</b:RefOrder>
  </b:Source>
  <b:Source>
    <b:Tag>Kus22</b:Tag>
    <b:SourceType>JournalArticle</b:SourceType>
    <b:Guid>{3CCD1B9A-4D9B-4F67-A445-056A06BFE8A3}</b:Guid>
    <b:Title>Pengaruh Rasio Likuiditas, Rasio Solvabilitas, Rasio Rentabilitas, Rasio Aktivitas, dan Ukuran Perusahaan terhadap Financial Distress pada Perusahaan Manufaktur yang terdaftar di Bursa Efek Indonesia Tahun 2018-2020</b:Title>
    <b:JournalName>Jurnal EMAS</b:JournalName>
    <b:Year>2022</b:Year>
    <b:Pages>98-112</b:Pages>
    <b:Author>
      <b:Author>
        <b:NameList>
          <b:Person>
            <b:Last>Kusmawati</b:Last>
            <b:Middle>Emi</b:Middle>
            <b:First>Kadek</b:First>
          </b:Person>
          <b:Person>
            <b:Last>Sukadana</b:Last>
            <b:First>I Wayan</b:First>
          </b:Person>
          <b:Person>
            <b:Last>Suarjana</b:Last>
            <b:First>I Wayan</b:First>
          </b:Person>
        </b:NameList>
      </b:Author>
    </b:Author>
    <b:Volume>3</b:Volume>
    <b:Issue>4</b:Issue>
    <b:RefOrder>5</b:RefOrder>
  </b:Source>
  <b:Source>
    <b:Tag>Mar231</b:Tag>
    <b:SourceType>JournalArticle</b:SourceType>
    <b:Guid>{13535EF1-B509-41C1-A8C7-94CB6AC67CDE}</b:Guid>
    <b:Title>Peran Financiall Distress Sebagai Variabel Mediasi Dalam Ratio Keuangan Pengaruhnya Terhadap Firm Value</b:Title>
    <b:JournalName>Jurnal Manajemen dan Bisnis Indonesia</b:JournalName>
    <b:Year>2023</b:Year>
    <b:Pages>151-163</b:Pages>
    <b:Author>
      <b:Author>
        <b:NameList>
          <b:Person>
            <b:Last>Martini</b:Last>
            <b:Middle>Putu</b:Middle>
            <b:First>Ni Nyoman</b:First>
          </b:Person>
          <b:Person>
            <b:Last>Firmansyah</b:Last>
            <b:Middle>Gayuh</b:Middle>
            <b:First>Ichwan</b:First>
          </b:Person>
          <b:Person>
            <b:Last>Susbiyani</b:Last>
            <b:First>Arik</b:First>
          </b:Person>
        </b:NameList>
      </b:Author>
    </b:Author>
    <b:Volume>9</b:Volume>
    <b:Issue>1</b:Issue>
    <b:StandardNumber>2460-9471</b:StandardNumber>
    <b:DOI>https://doi.org/10.32528/jmbi.v9i1.423</b:DOI>
    <b:RefOrder>11</b:RefOrder>
  </b:Source>
  <b:Source>
    <b:Tag>Nur231</b:Tag>
    <b:SourceType>JournalArticle</b:SourceType>
    <b:Guid>{85D280AE-37F3-445B-9733-781AF6A60422}</b:Guid>
    <b:Title>Analisis Pengaruh Leverage, Likuiditas, dan Profitabilitas terhadap Nilai Perusahaan dengan Financial Distress sebagai Variabel Intervening pada Perusahaan Manufaktur di BEI</b:Title>
    <b:JournalName>Syntax Literate: Jurnal Ilmiah Indonesia</b:JournalName>
    <b:Year>2023</b:Year>
    <b:Pages>1361-1380</b:Pages>
    <b:Author>
      <b:Author>
        <b:NameList>
          <b:Person>
            <b:Last>Nurwulandari</b:Last>
            <b:First>Andini</b:First>
          </b:Person>
          <b:Person>
            <b:First>Hasanudin</b:First>
          </b:Person>
          <b:Person>
            <b:Last>Latang</b:Last>
            <b:Middle>Akmal </b:Middle>
            <b:First>Muhammad</b:First>
          </b:Person>
        </b:NameList>
      </b:Author>
    </b:Author>
    <b:Volume>8</b:Volume>
    <b:Issue>2</b:Issue>
    <b:StandardNumber>2548-1398</b:StandardNumber>
    <b:DOI>http://dx.doi.org/10.36418/syntax-literate.v8i2.11431</b:DOI>
    <b:RefOrder>22</b:RefOrder>
  </b:Source>
  <b:Source>
    <b:Tag>Lat241</b:Tag>
    <b:SourceType>JournalArticle</b:SourceType>
    <b:Guid>{6A6F2663-50AC-4198-983D-C4587C8A52F4}</b:Guid>
    <b:Title>Pengaruh Intellectual Capital dan Profitabilitas terhadap Nilai Perusahaan dengan Financial Distress sebagai Variabel Intervening</b:Title>
    <b:JournalName>JIAKu: Jurnal Ilmiah Akuntansi dan Keuangan</b:JournalName>
    <b:Year>2024</b:Year>
    <b:Pages>77-91</b:Pages>
    <b:Author>
      <b:Author>
        <b:NameList>
          <b:Person>
            <b:Last>Latukau</b:Last>
            <b:Middle>Alifka</b:Middle>
            <b:First>Nurlina</b:First>
          </b:Person>
          <b:Person>
            <b:Last>Syahdan</b:Last>
            <b:First>Rinto</b:First>
          </b:Person>
          <b:Person>
            <b:First>Meliana</b:First>
          </b:Person>
        </b:NameList>
      </b:Author>
    </b:Author>
    <b:Volume>3</b:Volume>
    <b:Issue>1</b:Issue>
    <b:StandardNumber>2963-671X</b:StandardNumber>
    <b:DOI>10.24034/jiaku.v3i1.6393</b:DOI>
    <b:RefOrder>26</b:RefOrder>
  </b:Source>
  <b:Source>
    <b:Tag>Kur231</b:Tag>
    <b:SourceType>JournalArticle</b:SourceType>
    <b:Guid>{0B72E8FE-80CA-472A-9949-9E4336053B8D}</b:Guid>
    <b:Title>Pengaruh Kinerja Keuangan dan Ukuran Perusahaan terhadap Nilai Perusahaan dengan Variabel Intervening Financial Distress</b:Title>
    <b:JournalName>Jurnal Ilmu dan Riset Akuntansi</b:JournalName>
    <b:Year>2023</b:Year>
    <b:Pages>1-24</b:Pages>
    <b:Author>
      <b:Author>
        <b:NameList>
          <b:Person>
            <b:Last>Kurniasari</b:Last>
            <b:Middle>Nova</b:Middle>
            <b:First>Lenny</b:First>
          </b:Person>
          <b:Person>
            <b:Last>Widyawati</b:Last>
            <b:First>Dini</b:First>
          </b:Person>
        </b:NameList>
      </b:Author>
    </b:Author>
    <b:Volume>12</b:Volume>
    <b:Issue>6</b:Issue>
    <b:StandardNumber>2461-0585</b:StandardNumber>
    <b:RefOrder>16</b:RefOrder>
  </b:Source>
  <b:Source>
    <b:Tag>Sya221</b:Tag>
    <b:SourceType>JournalArticle</b:SourceType>
    <b:Guid>{B2C37338-406A-4510-BC2B-A50D6153E009}</b:Guid>
    <b:Title>Pengaruh Kinerja Keuangan terhadap Nilai Perusahaan dengan Financial Distress sebagai Variabel Intervening pada Perusahaan Property yang terdaftar di Bursa Efek Indonesia</b:Title>
    <b:JournalName>Jurnal Magister Manajemen Universitas Muslim Indonesia</b:JournalName>
    <b:Year>2022</b:Year>
    <b:Pages>56-65</b:Pages>
    <b:Volume>9</b:Volume>
    <b:Issue>1</b:Issue>
    <b:StandardNumber>2722-7952</b:StandardNumber>
    <b:DOI>https://doi.org/10.52103/jtk.v9i1.841</b:DOI>
    <b:Author>
      <b:Author>
        <b:NameList>
          <b:Person>
            <b:Last>Syam</b:Last>
            <b:Middle>Wahyuni</b:Middle>
            <b:First>Andi</b:First>
          </b:Person>
          <b:Person>
            <b:Last>Ma'sud</b:Last>
            <b:First>Masdar</b:First>
          </b:Person>
          <b:Person>
            <b:First>Budiandriani</b:First>
          </b:Person>
        </b:NameList>
      </b:Author>
    </b:Author>
    <b:RefOrder>29</b:RefOrder>
  </b:Source>
  <b:Source>
    <b:Tag>Jih211</b:Tag>
    <b:SourceType>JournalArticle</b:SourceType>
    <b:Guid>{B8B8D483-14F3-4CF6-A720-247EE7212AEA}</b:Guid>
    <b:Title>The Effect of Liquidity, Leverage, and Profitability on Firm Value: Empirical Evidence from Indonesia</b:Title>
    <b:JournalName>Journal of Asian Finance, Economics and Business</b:JournalName>
    <b:Year>2021</b:Year>
    <b:Pages>423-431</b:Pages>
    <b:Author>
      <b:Author>
        <b:NameList>
          <b:Person>
            <b:Last>Jihadi</b:Last>
            <b:First>Muhammad </b:First>
          </b:Person>
          <b:Person>
            <b:Last>Vilantika</b:Last>
            <b:First>Elok</b:First>
          </b:Person>
          <b:Person>
            <b:Last>Hashemi</b:Last>
            <b:Middle>Momin</b:Middle>
            <b:First>Sayed </b:First>
          </b:Person>
          <b:Person>
            <b:Last>Arifin</b:Last>
            <b:First>Zainal</b:First>
          </b:Person>
        </b:NameList>
      </b:Author>
    </b:Author>
    <b:Volume>8</b:Volume>
    <b:Issue>3</b:Issue>
    <b:StandardNumber>2288-4645</b:StandardNumber>
    <b:DOI>10.13106/jafeb.2021.vol8.no3.0423</b:DOI>
    <b:RefOrder>30</b:RefOrder>
  </b:Source>
  <b:Source>
    <b:Tag>Ulf201</b:Tag>
    <b:SourceType>JournalArticle</b:SourceType>
    <b:Guid>{B849F0CB-70EF-4AF1-BDB5-7294C0DF9A4D}</b:Guid>
    <b:Title>Pengaruh Profitabilitas dan Ukuran Perusahaan terhadap Financial Distress dengan Nilai Perusahaan sebagai Variabel Intervening</b:Title>
    <b:Year>2020</b:Year>
    <b:Author>
      <b:Author>
        <b:NameList>
          <b:Person>
            <b:Last>Ulfa</b:Last>
            <b:First>Maria</b:First>
          </b:Person>
        </b:NameList>
      </b:Author>
    </b:Author>
    <b:City>Malang</b:City>
    <b:Publisher>UIN Maulana Malik Ibrahim</b:Publisher>
    <b:RefOrder>31</b:RefOrder>
  </b:Source>
  <b:Source>
    <b:Tag>PPN20</b:Tag>
    <b:SourceType>Report</b:SourceType>
    <b:Guid>{E73D2C96-FD1A-44A3-9BAD-043707EF04EE}</b:Guid>
    <b:Title>Laporan Perkembangan Ekonomi Indonesia dan Dunia Triwulan III 2020</b:Title>
    <b:Year>2020</b:Year>
    <b:Author>
      <b:Author>
        <b:NameList>
          <b:Person>
            <b:Last>Kementerian PPN/Bappenas</b:Last>
          </b:Person>
        </b:NameList>
      </b:Author>
    </b:Author>
    <b:URL>https://www.bappenas.go.id/id/berita-dan-siaran-pers/laporan-perkembangan-ekonomi-indonesia-dan-dunia-triwulan-i-tahun-2020/</b:URL>
    <b:Publisher>Bappenas</b:Publisher>
    <b:RefOrder>32</b:RefOrder>
  </b:Source>
  <b:Source>
    <b:Tag>CNN23</b:Tag>
    <b:SourceType>Report</b:SourceType>
    <b:Guid>{041AD7B6-C333-4608-98AB-2F5DC96A30C6}</b:Guid>
    <b:Title>"Sri Mulyani Sebut Industri Manufaktur Turun Hampir di Semua Negara"</b:Title>
    <b:Year>2023</b:Year>
    <b:Publisher>2 November 2023</b:Publisher>
    <b:Author>
      <b:Author>
        <b:NameList>
          <b:Person>
            <b:Last>CNN Indonesia</b:Last>
          </b:Person>
        </b:NameList>
      </b:Author>
    </b:Author>
    <b:URL>https://www.cnnindonesia.com/ekonomi/20231101190811-532-1018821/sri-mulyani-sebut-industri-manufaktur-turun-hampir-di-semua-negara</b:URL>
    <b:RefOrder>33</b:RefOrder>
  </b:Source>
  <b:Source>
    <b:Tag>CNN22</b:Tag>
    <b:SourceType>Report</b:SourceType>
    <b:Guid>{6320B8F5-6D57-4545-BBB6-47BD2FB90BA2}</b:Guid>
    <b:Title>"PMI Manufaktur Indonesia Naik jadi 50,9 pada Desember 2022"</b:Title>
    <b:Year>2022</b:Year>
    <b:Publisher>3 Januari 2023</b:Publisher>
    <b:Author>
      <b:Author>
        <b:NameList>
          <b:Person>
            <b:Last>CNN Indonesia</b:Last>
          </b:Person>
        </b:NameList>
      </b:Author>
    </b:Author>
    <b:URL>https://www.cnnindonesia.com/ekonomi/20230103204425-92-895723/pmi-manufaktur-indonesia-naik-jadi-509-pada-desember-2022</b:URL>
    <b:RefOrder>34</b:RefOrder>
  </b:Source>
  <b:Source>
    <b:Tag>Soe21</b:Tag>
    <b:SourceType>Book</b:SourceType>
    <b:Guid>{6C8F5E48-7742-4CBE-B2CA-3D43C764D625}</b:Guid>
    <b:Title>Manajemen Keuangan untuk Wiarusaha Mulia</b:Title>
    <b:Year>2021</b:Year>
    <b:Publisher>PRENADA</b:Publisher>
    <b:Author>
      <b:Author>
        <b:NameList>
          <b:Person>
            <b:Last>Soekarno</b:Last>
            <b:First>Subiakto</b:First>
          </b:Person>
          <b:Person>
            <b:Last>Mirzanti</b:Last>
            <b:Middle>Raafaldini</b:Middle>
            <b:First>Isti</b:First>
          </b:Person>
          <b:Person>
            <b:Last>Subroto</b:Last>
            <b:Middle>Ghaida</b:Middle>
            <b:First>Cynthia  </b:First>
          </b:Person>
          <b:Person>
            <b:Last>Kautsar</b:Last>
            <b:Middle>Witjaksono</b:Middle>
            <b:First>Arief</b:First>
          </b:Person>
        </b:NameList>
      </b:Author>
    </b:Author>
    <b:StandardNumber>978-602-383-080-0</b:StandardNumber>
    <b:Edition>1</b:Edition>
    <b:RefOrder>12</b:RefOrder>
  </b:Source>
  <b:Source>
    <b:Tag>Nin22</b:Tag>
    <b:SourceType>Book</b:SourceType>
    <b:Guid>{1BF6BE22-E8B3-4B9C-AADB-7FDB080038AA}</b:Guid>
    <b:Title>Nilai Perusahaan (Konsep dan Aplikasi)</b:Title>
    <b:Year>2022</b:Year>
    <b:Publisher>CV Adanu Abimata</b:Publisher>
    <b:Author>
      <b:Author>
        <b:NameList>
          <b:Person>
            <b:Last>Ningrum</b:Last>
            <b:Middle>Prawesti</b:Middle>
            <b:First>Endah</b:First>
          </b:Person>
        </b:NameList>
      </b:Author>
    </b:Author>
    <b:StandardNumber>978-623-5687</b:StandardNumber>
    <b:RefOrder>3</b:RefOrder>
  </b:Source>
  <b:Source>
    <b:Tag>Goh23</b:Tag>
    <b:SourceType>Book</b:SourceType>
    <b:Guid>{22E12AC4-5874-4BAB-8CF5-F97B67F25232}</b:Guid>
    <b:Title>Monograf: Financial Distress</b:Title>
    <b:Year>2023</b:Year>
    <b:City>Sidoarjo</b:City>
    <b:Publisher>Indomedia Pustaka</b:Publisher>
    <b:Author>
      <b:Author>
        <b:NameList>
          <b:Person>
            <b:Last>Goh</b:Last>
            <b:Middle>Sumarsan</b:Middle>
            <b:First>Thomas</b:First>
          </b:Person>
        </b:NameList>
      </b:Author>
    </b:Author>
    <b:StandardNumber>978-623-414-102-3</b:StandardNumber>
    <b:RefOrder>35</b:RefOrder>
  </b:Source>
  <b:Source>
    <b:Tag>Okt22</b:Tag>
    <b:SourceType>JournalArticle</b:SourceType>
    <b:Guid>{A0E9CA53-49E9-438F-B590-FCF08D49FD53}</b:Guid>
    <b:Title>Pengaruh Profitabilitas, Likuiditas, Aktivitas, Leverage, dan Sales Growth terhadap Financial Distress</b:Title>
    <b:JournalName>Owner: Riset &amp; Jurnal Akuntansi</b:JournalName>
    <b:Year>2022</b:Year>
    <b:Pages>2613-2623</b:Pages>
    <b:Author>
      <b:Author>
        <b:NameList>
          <b:Person>
            <b:Last>Oktaviani</b:Last>
            <b:Middle>Delayanti Dwi</b:Middle>
            <b:First>Nurul</b:First>
          </b:Person>
          <b:Person>
            <b:Last>Lisiantara</b:Last>
            <b:First>G. Anggana</b:First>
          </b:Person>
        </b:NameList>
      </b:Author>
    </b:Author>
    <b:Volume>6</b:Volume>
    <b:Issue>2</b:Issue>
    <b:StandardNumber>2548-9224</b:StandardNumber>
    <b:DOI>https://doi.org/10.33395/owner.v6i3.944</b:DOI>
    <b:RefOrder>20</b:RefOrder>
  </b:Source>
  <b:Source>
    <b:Tag>Put231</b:Tag>
    <b:SourceType>JournalArticle</b:SourceType>
    <b:Guid>{ABBB8E20-6ED3-4692-B9FA-D17ADEFFF7FC}</b:Guid>
    <b:Title>Pengaruh Likuiditas, Leverage, dan Aktivitas terhadap Nilai Perusahaan dengan Profitabilitas sebagai Variabel Intervening pada Perusahaan Sub Sektor Farmasi yang Terdaftar di Bursa Efek Indonesia (BEI) Periode 2017-2021</b:Title>
    <b:JournalName>JIRA: Jurnal Ilmiah Raflesia Akuntansi </b:JournalName>
    <b:Year>2023</b:Year>
    <b:Pages>40-56</b:Pages>
    <b:Author>
      <b:Author>
        <b:NameList>
          <b:Person>
            <b:Last>Putri</b:Last>
            <b:Middle>Septiana Vika</b:Middle>
            <b:First>Intan</b:First>
          </b:Person>
          <b:Person>
            <b:Last>Binastuti</b:Last>
            <b:First>Sugiharti</b:First>
          </b:Person>
        </b:NameList>
      </b:Author>
    </b:Author>
    <b:Volume>9</b:Volume>
    <b:Issue>1</b:Issue>
    <b:DOI>https://doi.org/10.53494/jira.v9i1.209</b:DOI>
    <b:RefOrder>36</b:RefOrder>
  </b:Source>
  <b:Source>
    <b:Tag>Put241</b:Tag>
    <b:SourceType>JournalArticle</b:SourceType>
    <b:Guid>{EF8B04FE-B980-4632-A0C3-92C526F37A29}</b:Guid>
    <b:Title>Pengaruh Profitabilitas, Ukuran Perusahaan, dan Leverage terhadap Nilai Perusahaan dengan Financial Distress sebagai Variabel Intervening</b:Title>
    <b:JournalName>SEIKO : Journal of Management &amp; Business</b:JournalName>
    <b:Year>2024</b:Year>
    <b:Pages>761 - 776</b:Pages>
    <b:Author>
      <b:Author>
        <b:NameList>
          <b:Person>
            <b:Last>Putri</b:Last>
            <b:Middle>Failisa</b:Middle>
            <b:First>Arindah </b:First>
          </b:Person>
          <b:Person>
            <b:Last>Rahim</b:Last>
            <b:First>Syamsuri</b:First>
          </b:Person>
          <b:Person>
            <b:Last>Selong</b:Last>
            <b:First>Abbas</b:First>
          </b:Person>
        </b:NameList>
      </b:Author>
    </b:Author>
    <b:Volume>7</b:Volume>
    <b:Issue>1</b:Issue>
    <b:StandardNumber>2598-8301</b:StandardNumber>
    <b:DOI>https://doi.org/10.37531/sejaman.v7i1.6474</b:DOI>
    <b:RefOrder>21</b:RefOrder>
  </b:Source>
  <b:Source>
    <b:Tag>Azi231</b:Tag>
    <b:SourceType>JournalArticle</b:SourceType>
    <b:Guid>{D5FBC984-3AC4-43B7-95F9-8996051C2142}</b:Guid>
    <b:Title>Pengaruh Cash Ratio dan Total Aset Turnover terhadap Nilai Perusahaan dengan Financial Distress sebagai Variabel Mediasi pada Perbankan Syariah yang terdaftar di BEI Tahun 2017-2022</b:Title>
    <b:Year>2023</b:Year>
    <b:Author>
      <b:Author>
        <b:NameList>
          <b:Person>
            <b:Last>Azizah</b:Last>
            <b:Middle>Nur</b:Middle>
            <b:First>Herlini</b:First>
          </b:Person>
        </b:NameList>
      </b:Author>
    </b:Author>
    <b:Publisher>Universitas Islam Negeri Sunan Kalijaga Yogyakarta</b:Publisher>
    <b:RefOrder>37</b:RefOrder>
  </b:Source>
  <b:Source>
    <b:Tag>Gun20</b:Tag>
    <b:SourceType>JournalArticle</b:SourceType>
    <b:Guid>{414C9963-8C12-4C14-888E-30E59EC0AB68}</b:Guid>
    <b:Title>Determinant of Financial Distress</b:Title>
    <b:JournalName>Atlantis Press</b:JournalName>
    <b:Year>2020</b:Year>
    <b:Pages>113-120</b:Pages>
    <b:Author>
      <b:Author>
        <b:NameList>
          <b:Person>
            <b:Last>Gunawan</b:Last>
            <b:First>Barbara</b:First>
          </b:Person>
          <b:Person>
            <b:Last>Putra</b:Last>
            <b:Middle>Cahya</b:Middle>
            <b:First>Hutomo</b:First>
          </b:Person>
        </b:NameList>
      </b:Author>
    </b:Author>
    <b:Volume>176</b:Volume>
    <b:DOI>https://doi.org/10.2991/aer.k.210121.016</b:DOI>
    <b:RefOrder>38</b:RefOrder>
  </b:Source>
  <b:Source>
    <b:Tag>Dew21</b:Tag>
    <b:SourceType>JournalArticle</b:SourceType>
    <b:Guid>{2CA1D208-78C6-4D85-B8FA-FC02D161913E}</b:Guid>
    <b:Title>Profitability, Liquidity, and Firm Value: Does Financial Distress Have a Mediating Effect</b:Title>
    <b:JournalName>Atlantis Press</b:JournalName>
    <b:Year>2021</b:Year>
    <b:Pages>437-445</b:Pages>
    <b:Author>
      <b:Author>
        <b:NameList>
          <b:Person>
            <b:Last>Dewi</b:Last>
            <b:First>Melinda</b:First>
          </b:Person>
          <b:Person>
            <b:Last>Foanta</b:Last>
            <b:Middle>Natasya</b:Middle>
            <b:First>Gabriella</b:First>
          </b:Person>
          <b:Person>
            <b:Last>Christiawan</b:Last>
            <b:Middle>Jogi</b:Middle>
            <b:First>Yulius</b:First>
          </b:Person>
        </b:NameList>
      </b:Author>
    </b:Author>
    <b:Volume>197</b:Volume>
    <b:URL>https://www.atlantis-press.com/proceedings/teams-21/125964252</b:URL>
    <b:RefOrder>39</b:RefOrder>
  </b:Source>
  <b:Source>
    <b:Tag>Geb221</b:Tag>
    <b:SourceType>JournalArticle</b:SourceType>
    <b:Guid>{5851BD14-5B52-4D7B-9D3C-87CFE1DB84A8}</b:Guid>
    <b:Title>The Effect of Financial Ratio on Value Companies with Financial Distress as Intervening Variables in the Company Manufacture</b:Title>
    <b:JournalName>SMBJ: Strategic Management Business Journal</b:JournalName>
    <b:Year>2022</b:Year>
    <b:Pages>109-116</b:Pages>
    <b:Author>
      <b:Author>
        <b:NameList>
          <b:Person>
            <b:Last>Gebang</b:Last>
            <b:Middle>Yanto</b:Middle>
            <b:First>Anthonius</b:First>
          </b:Person>
          <b:Person>
            <b:Last>Purba</b:Last>
            <b:First>Yusrizal</b:First>
          </b:Person>
        </b:NameList>
      </b:Author>
    </b:Author>
    <b:Volume>2</b:Volume>
    <b:Issue>2</b:Issue>
    <b:StandardNumber>2775-6572</b:StandardNumber>
    <b:DOI>https://doi.org/ 10.55751/smbj.v2i02.54</b:DOI>
    <b:RefOrder>40</b:RefOrder>
  </b:Source>
  <b:Source>
    <b:Tag>Gho16</b:Tag>
    <b:SourceType>Book</b:SourceType>
    <b:Guid>{A8ADC0D6-2333-48C7-8326-01BB71E449BF}</b:Guid>
    <b:Title>Aplikasi Analisis Multivariete dengan Program (IBM SPSS).</b:Title>
    <b:Year>2016</b:Year>
    <b:Author>
      <b:Author>
        <b:NameList>
          <b:Person>
            <b:Last>Ghozali</b:Last>
            <b:First>Imam</b:First>
          </b:Person>
        </b:NameList>
      </b:Author>
    </b:Author>
    <b:City>Semarang</b:City>
    <b:Publisher>Badan Penerbit Universitas Diponegoro</b:Publisher>
    <b:Edition>8</b:Edition>
    <b:RefOrder>41</b:RefOrder>
  </b:Source>
  <b:Source>
    <b:Tag>Wiy</b:Tag>
    <b:SourceType>Book</b:SourceType>
    <b:Guid>{83136348-E082-4365-9A64-ECA0FF7D60B3}</b:Guid>
    <b:Title>Manajemen Keuangan Lanjutan Berbasis Corporate Value Creation</b:Title>
    <b:Author>
      <b:Author>
        <b:NameList>
          <b:Person>
            <b:Last>Wiyono</b:Last>
            <b:First>Gendro</b:First>
          </b:Person>
          <b:Person>
            <b:Last>Kusuma</b:Last>
            <b:First>Hadi</b:First>
          </b:Person>
        </b:NameList>
      </b:Author>
    </b:Author>
    <b:Year>2017</b:Year>
    <b:Publisher>UPP STIM YKPN</b:Publisher>
    <b:Edition>1</b:Edition>
    <b:RefOrder>6</b:RefOrder>
  </b:Source>
  <b:Source>
    <b:Tag>Cah21</b:Tag>
    <b:SourceType>JournalArticle</b:SourceType>
    <b:Guid>{34F1E754-CC3E-4304-8A10-DEBB91FF5182}</b:Guid>
    <b:Title>Analisis Kesehatan Keuangan Perusahaan di Masa Pandemi Covid 19 Menggunakan Rasio Likuiditas, Profitabilitas, dan Solvabilitas (Studi Kasus UMKM Ameera Hijab)</b:Title>
    <b:Year>2021</b:Year>
    <b:JournalName>Equilibriym</b:JournalName>
    <b:Pages>131-136</b:Pages>
    <b:Author>
      <b:Author>
        <b:NameList>
          <b:Person>
            <b:Last>Cahya</b:Last>
            <b:Middle>Dwi </b:Middle>
            <b:First>Agus</b:First>
          </b:Person>
          <b:Person>
            <b:Last>Rachmawati</b:Last>
            <b:First>Heditri </b:First>
          </b:Person>
          <b:Person>
            <b:Last>Ridhowasti</b:Last>
            <b:First>Rista</b:First>
          </b:Person>
        </b:NameList>
      </b:Author>
    </b:Author>
    <b:Volume>10</b:Volume>
    <b:Issue>2</b:Issue>
    <b:RefOrder>13</b:RefOrder>
  </b:Source>
  <b:Source>
    <b:Tag>Bul21</b:Tag>
    <b:SourceType>JournalArticle</b:SourceType>
    <b:Guid>{966C81B3-6D11-440A-A479-B5FDE14063FD}</b:Guid>
    <b:Title>Analisis Regresi Faktor-Faktor yang Mempengaruhi Penerimaan Pajak Daerah di Kota Manado Sulawesi Utara</b:Title>
    <b:JournalName>Jurnal Matematika dan Aplikasi</b:JournalName>
    <b:Year>2021</b:Year>
    <b:Pages>40-46</b:Pages>
    <b:Author>
      <b:Author>
        <b:NameList>
          <b:Person>
            <b:Last>Bululung</b:Last>
            <b:First>Wempi</b:First>
          </b:Person>
          <b:Person>
            <b:Last>Prang</b:Last>
            <b:Middle>D</b:Middle>
            <b:First>Jantje </b:First>
          </b:Person>
          <b:Person>
            <b:Last>Mongi</b:Last>
            <b:Middle>E</b:Middle>
            <b:First>Charles </b:First>
          </b:Person>
        </b:NameList>
      </b:Author>
    </b:Author>
    <b:Volume>10</b:Volume>
    <b:Issue>2</b:Issue>
    <b:RefOrder>42</b:RefOrder>
  </b:Source>
  <b:Source>
    <b:Tag>Yan24</b:Tag>
    <b:SourceType>JournalArticle</b:SourceType>
    <b:Guid>{9E920352-15CB-483A-BF21-91CCE6807D59}</b:Guid>
    <b:Title>Analisis Faktor Terjadinya Financial Distress Dengan Metode Altman Z-Score Pada Perusahaan Manufaktur Yang Terdapat Di Bursa Efek Indonesia Periode 2019-2021</b:Title>
    <b:JournalName>Economics and Digital Business Review</b:JournalName>
    <b:Year>2024</b:Year>
    <b:Pages>56-63</b:Pages>
    <b:Author>
      <b:Author>
        <b:NameList>
          <b:Person>
            <b:Last>Yanti</b:Last>
            <b:Middle>Kharisma</b:Middle>
            <b:First>Halim</b:First>
          </b:Person>
          <b:Person>
            <b:First>Fauzan</b:First>
          </b:Person>
        </b:NameList>
      </b:Author>
    </b:Author>
    <b:Volume>5</b:Volume>
    <b:Issue>1</b:Issue>
    <b:StandardNumber>2774-2563</b:StandardNumber>
    <b:RefOrder>43</b:RefOrder>
  </b:Source>
  <b:Source>
    <b:Tag>Sap24</b:Tag>
    <b:SourceType>JournalArticle</b:SourceType>
    <b:Guid>{9224E10A-9607-40B1-8CDA-E695EA2FB1CD}</b:Guid>
    <b:Title>Pengaruh Current Ratio, Debt To Asset Ratio, Total Asset Turnover, dan Return On Asset terhadap Financial Distress (Model Altman Z-Score) Pada Perusahaan Subsektor Perkebunan Yang Terdaftar di Bursa Efek Indonesia Periode 2019-2022</b:Title>
    <b:JournalName>Management, Accounting, Islamic Banking and Islamic Economic Journal</b:JournalName>
    <b:Year>2024</b:Year>
    <b:Pages>99-111</b:Pages>
    <b:Author>
      <b:Author>
        <b:NameList>
          <b:Person>
            <b:Last>Saputri</b:Last>
            <b:Middle>Kurnia</b:Middle>
            <b:First>Endang</b:First>
          </b:Person>
          <b:Person>
            <b:Last>Sari</b:Last>
            <b:Middle>Purnama</b:Middle>
            <b:First>Eka</b:First>
          </b:Person>
        </b:NameList>
      </b:Author>
    </b:Author>
    <b:Volume>2</b:Volume>
    <b:Issue>1</b:Issue>
    <b:StandardNumber>2987-842X</b:StandardNumber>
    <b:RefOrder>44</b:RefOrder>
  </b:Source>
  <b:Source>
    <b:Tag>Hak24</b:Tag>
    <b:SourceType>JournalArticle</b:SourceType>
    <b:Guid>{129D2822-0864-480F-889D-7C831E57027B}</b:Guid>
    <b:Title>Pengaruh Rasio Keuangan Terhadap Financial Distress Pada Perusahaan Manufaktur Yang Terdaftar Di Jakarta Islamic Index 70 (JII70) Periode 2018-2021</b:Title>
    <b:JournalName>Jurnal Akuntansi, Keuangan dan Auditing</b:JournalName>
    <b:Year>2024</b:Year>
    <b:Pages>255-269</b:Pages>
    <b:Author>
      <b:Author>
        <b:NameList>
          <b:Person>
            <b:Last>Hakim</b:Last>
            <b:Middle>Fajrul</b:Middle>
            <b:First>Muhhamad</b:First>
          </b:Person>
          <b:Person>
            <b:Last>Al Faqih</b:Last>
            <b:Middle>Iman Hakim </b:Middle>
            <b:First>Nur</b:First>
          </b:Person>
        </b:NameList>
      </b:Author>
    </b:Author>
    <b:Volume>5</b:Volume>
    <b:Issue>1</b:Issue>
    <b:StandardNumber>2723-2522</b:StandardNumber>
    <b:RefOrder>23</b:RefOrder>
  </b:Source>
  <b:Source>
    <b:Tag>Dho22</b:Tag>
    <b:SourceType>JournalArticle</b:SourceType>
    <b:Guid>{8A164686-4614-46B9-B7BC-36DD7850157A}</b:Guid>
    <b:Title>Analisis Pengaruh Kebijakan Dividen, Leverage, dan Profitabilitas terhadap Nilai Perusahaan pada Perusahaan Sub Sektor Konstruksi dan Bangunan di Bursa Efek Indonesia Tahun 2016-2020</b:Title>
    <b:JournalName>Jurusan Manajemen Fakultas Ekonomika dan Bisnis Universitas Negeri Surabaya</b:JournalName>
    <b:Year>2022</b:Year>
    <b:Author>
      <b:Author>
        <b:NameList>
          <b:Person>
            <b:Last>Dhovairy</b:Last>
            <b:Middle>Fitria</b:Middle>
            <b:First>Anisa</b:First>
          </b:Person>
        </b:NameList>
      </b:Author>
    </b:Author>
    <b:Volume>10</b:Volume>
    <b:Issue>2</b:Issue>
    <b:RefOrder>45</b:RefOrder>
  </b:Source>
  <b:Source>
    <b:Tag>Kri23</b:Tag>
    <b:SourceType>JournalArticle</b:SourceType>
    <b:Guid>{754799EE-C543-4F84-A548-8ACA051AEFD5}</b:Guid>
    <b:Title>Pengaruh Corporate Governance, Capital Structure, dan Gender Diversity terhadap Firm Performance</b:Title>
    <b:JournalName>Jurnal Maneksi</b:JournalName>
    <b:Year>2023</b:Year>
    <b:Author>
      <b:Author>
        <b:NameList>
          <b:Person>
            <b:Last>Krisyadi</b:Last>
            <b:First>Robby</b:First>
          </b:Person>
          <b:Person>
            <b:First>Anastasya</b:First>
          </b:Person>
        </b:NameList>
      </b:Author>
    </b:Author>
    <b:Volume>12</b:Volume>
    <b:Issue>1</b:Issue>
    <b:StandardNumber>2597- 4599</b:StandardNumber>
    <b:RefOrder>46</b:RefOrder>
  </b:Source>
  <b:Source>
    <b:Tag>Nof21</b:Tag>
    <b:SourceType>JournalArticle</b:SourceType>
    <b:Guid>{6FE13DA6-E2CA-4D62-9840-300A973AA6C7}</b:Guid>
    <b:Title>Pengaruh Struktur Modal, Aktivitas, Current Ratio, dan Profitabilitas terhadap Nilai Perusahaan pada Perusahaan Manufaktur</b:Title>
    <b:JournalName>Journal of Economics and Accounting</b:JournalName>
    <b:Year>2021</b:Year>
    <b:Pages>136-144</b:Pages>
    <b:Author>
      <b:Author>
        <b:NameList>
          <b:Person>
            <b:Last>Nofriyani</b:Last>
            <b:Middle>Ester</b:Middle>
            <b:First>Fifi</b:First>
          </b:Person>
          <b:Person>
            <b:Last>Halawa</b:Last>
            <b:Middle>Anda Kristal</b:Middle>
            <b:First>Ratna</b:First>
          </b:Person>
          <b:Person>
            <b:Last>Hayati</b:Last>
            <b:First>Keumala</b:First>
          </b:Person>
        </b:NameList>
      </b:Author>
    </b:Author>
    <b:Volume>1</b:Volume>
    <b:Issue>3</b:Issue>
    <b:StandardNumber> 2722-841X</b:StandardNumber>
    <b:RefOrder>47</b:RefOrder>
  </b:Source>
  <b:Source>
    <b:Tag>Fia25</b:Tag>
    <b:SourceType>JournalArticle</b:SourceType>
    <b:Guid>{37BC819D-68F3-4083-8366-20C305F0F43A}</b:Guid>
    <b:Title>THE IMPACT OF PROFITABILITY ON COMPANY VALUE WITH MEDIATION OF FINANCIAL DISTRESS IN CONVENTIONAL BANKING LISTED  ON THE IDX  2020-2023</b:Title>
    <b:JournalName>JOURNAL OF MANAGEMENT Small and Medium Enterprises (SME’s)</b:JournalName>
    <b:Year>2025</b:Year>
    <b:Pages>747-758</b:Pages>
    <b:Author>
      <b:Author>
        <b:NameList>
          <b:Person>
            <b:Last>Fiatun</b:Last>
            <b:First>Ida</b:First>
          </b:Person>
          <b:Person>
            <b:First>Mardiana</b:First>
          </b:Person>
        </b:NameList>
      </b:Author>
    </b:Author>
    <b:Volume>18</b:Volume>
    <b:Issue>1</b:Issue>
    <b:RefOrder>27</b:RefOrder>
  </b:Source>
  <b:Source>
    <b:Tag>Lae22</b:Tag>
    <b:SourceType>JournalArticle</b:SourceType>
    <b:Guid>{882EFD37-3ADE-41A8-A164-9F480797C423}</b:Guid>
    <b:Title>Faktor-faktor yang Mempengaruhi Nilai Perusahaan Pada Perusahaan Pertambangan yang Terdaftar di Bursa Efek Indonesia Pada Tahun 2017-2020</b:Title>
    <b:JournalName>Jurnal Riset Akuntansi dan Auditing</b:JournalName>
    <b:Year>2022</b:Year>
    <b:Pages>57-69</b:Pages>
    <b:Author>
      <b:Author>
        <b:NameList>
          <b:Person>
            <b:Last>Laela</b:Last>
            <b:First>Septiatul</b:First>
          </b:Person>
          <b:Person>
            <b:Last>Prayitmi</b:Last>
            <b:Middle>Era Atmi</b:Middle>
            <b:First>Rahma</b:First>
          </b:Person>
        </b:NameList>
      </b:Author>
    </b:Author>
    <b:Volume>9</b:Volume>
    <b:Issue>2</b:Issue>
    <b:StandardNumber>2746-9956</b:StandardNumber>
    <b:RefOrder>17</b:RefOrder>
  </b:Source>
  <b:Source>
    <b:Tag>Wha22</b:Tag>
    <b:SourceType>JournalArticle</b:SourceType>
    <b:Guid>{1F347A43-F883-481A-901E-F6D2D8921483}</b:Guid>
    <b:Title>Analisis Altman Z-Score Untuk Menilai Tingkat Kesehatan Keuangan Perusahaan</b:Title>
    <b:JournalName>Jurnal Pendidikan dan Konseling</b:JournalName>
    <b:Year>2022</b:Year>
    <b:Pages>1022-1035</b:Pages>
    <b:Author>
      <b:Author>
        <b:NameList>
          <b:Person>
            <b:Last>Whardani</b:Last>
            <b:First>Puspha</b:First>
          </b:Person>
          <b:Person>
            <b:First>Mahroji</b:First>
          </b:Person>
        </b:NameList>
      </b:Author>
    </b:Author>
    <b:Volume>4</b:Volume>
    <b:Issue>3</b:Issue>
    <b:StandardNumber>2685-936X</b:StandardNumber>
    <b:RefOrder>15</b:RefOrder>
  </b:Source>
  <b:Source>
    <b:Tag>Bur24</b:Tag>
    <b:SourceType>JournalArticle</b:SourceType>
    <b:Guid>{72DC5358-5DA8-4C8D-9F58-5C1DCA661A0F}</b:Guid>
    <b:Title>Analisis Rasio Keuangan untuk Memprediksi Kondisi Financial Distress Perusahaan Consumer Cylicals</b:Title>
    <b:JournalName>Jurnal Akuntansi, Perpajakan dan Auditing</b:JournalName>
    <b:Year>2024</b:Year>
    <b:Pages>348-365</b:Pages>
    <b:Author>
      <b:Author>
        <b:NameList>
          <b:Person>
            <b:Last>Burnika</b:Last>
            <b:First>Erwin</b:First>
          </b:Person>
          <b:Person>
            <b:Last>Pahala</b:Last>
            <b:First>Indra</b:First>
          </b:Person>
          <b:Person>
            <b:Last>Handarini</b:Last>
            <b:First>Dwi</b:First>
          </b:Person>
        </b:NameList>
      </b:Author>
    </b:Author>
    <b:Volume>5</b:Volume>
    <b:Issue>2</b:Issue>
    <b:RefOrder>24</b:RefOrder>
  </b:Source>
  <b:Source>
    <b:Tag>Sus23</b:Tag>
    <b:SourceType>JournalArticle</b:SourceType>
    <b:Guid>{3F791EDF-F997-46CA-831D-790D35D9DE8F}</b:Guid>
    <b:Title>Pengaruh Likuiditas, Profitabilitas, Solvabilitas, dan Aktivitas terhadap Financial Distress pada Perusahaan yang terdaftar di Bursa Efek Indonesia Periode 2020-2021</b:Title>
    <b:JournalName>Jurnal Manajemen Bisnis dan Kewirausahaan</b:JournalName>
    <b:Year>2023</b:Year>
    <b:Pages>1139-1152</b:Pages>
    <b:Author>
      <b:Author>
        <b:NameList>
          <b:Person>
            <b:Last>Susanto</b:Last>
            <b:Middle>Geraldin Yolando</b:Middle>
            <b:First>Jonathan</b:First>
          </b:Person>
          <b:Person>
            <b:Last>Handoyo</b:Last>
            <b:Middle>Edy</b:Middle>
            <b:First>Sarwo</b:First>
          </b:Person>
        </b:NameList>
      </b:Author>
    </b:Author>
    <b:Volume>7</b:Volume>
    <b:Issue>5</b:Issue>
    <b:RefOrder>25</b:RefOrder>
  </b:Source>
  <b:Source>
    <b:Tag>Sep22</b:Tag>
    <b:SourceType>JournalArticle</b:SourceType>
    <b:Guid>{3EC7E0E3-27DD-4BFC-B9CD-686D7DEE3385}</b:Guid>
    <b:Title>Faktor-faktor yang Mempengaruhi Nilai Perusahaan Pada Perusahaan Pertambangan yang Terdaftar di Bursa EfekIndonesia Pada Tahun 2017-2020</b:Title>
    <b:JournalName>Jurnal Riset Akuntansi dan Auditing</b:JournalName>
    <b:Year>2022</b:Year>
    <b:Pages>57-69</b:Pages>
    <b:Author>
      <b:Author>
        <b:NameList>
          <b:Person>
            <b:Last>Laela</b:Last>
            <b:First>Septiatul</b:First>
          </b:Person>
          <b:Person>
            <b:Last>Prayitmi</b:Last>
            <b:Middle>Era Atmi</b:Middle>
            <b:First>Rahma</b:First>
          </b:Person>
        </b:NameList>
      </b:Author>
    </b:Author>
    <b:Volume>9</b:Volume>
    <b:Issue>2</b:Issue>
    <b:StandardNumber>2746-9956</b:StandardNumber>
    <b:RefOrder>48</b:RefOrder>
  </b:Source>
  <b:Source>
    <b:Tag>Arc24</b:Tag>
    <b:SourceType>JournalArticle</b:SourceType>
    <b:Guid>{1FEE12F3-F687-452F-8C3E-8E6438213031}</b:Guid>
    <b:Title>Pengaruh Likuiditas, Profitabilitas, dan Aktivitas terhadap Nilai Perusahaan pada Perusahaan Manufaktur Sub Sector Makanan dan Minuman</b:Title>
    <b:JournalName>JEBS (Jurnal Ekonomi, Bisnis, dan Sosial)</b:JournalName>
    <b:Year>2024</b:Year>
    <b:Pages>84-93</b:Pages>
    <b:Author>
      <b:Author>
        <b:NameList>
          <b:Person>
            <b:Last>Arci</b:Last>
            <b:Middle>Elvis</b:Middle>
            <b:First>Petronela</b:First>
          </b:Person>
          <b:Person>
            <b:Last>Ermawati</b:Last>
            <b:First>Yuli</b:First>
          </b:Person>
        </b:NameList>
      </b:Author>
    </b:Author>
    <b:Volume>2</b:Volume>
    <b:Issue>1</b:Issue>
    <b:StandardNumber> 2987-6672</b:StandardNumber>
    <b:RefOrder>49</b:RefOrder>
  </b:Source>
  <b:Source>
    <b:Tag>Pur21</b:Tag>
    <b:SourceType>JournalArticle</b:SourceType>
    <b:Guid>{C729754E-AA66-4FCE-A283-C8521AE53903}</b:Guid>
    <b:Title>Determinasi Kinerja Keuangan Perusahaan : Analisis Likuiditas, Leverage, dan Ukuran Perusahaan (Literature Review Manajemen Keuangan)</b:Title>
    <b:JournalName>Jurnal Ilmu Manajemen Terapan</b:JournalName>
    <b:Year>2021</b:Year>
    <b:Pages>692-698</b:Pages>
    <b:Author>
      <b:Author>
        <b:NameList>
          <b:Person>
            <b:Last>Purwanti</b:Last>
            <b:First>Dewi</b:First>
          </b:Person>
        </b:NameList>
      </b:Author>
    </b:Author>
    <b:Volume>2</b:Volume>
    <b:Issue>5</b:Issue>
    <b:DOI>https://doi.org/10.31933/jimt.v2i5</b:DOI>
    <b:RefOrder>7</b:RefOrder>
  </b:Source>
</b:Sources>
</file>

<file path=customXml/itemProps1.xml><?xml version="1.0" encoding="utf-8"?>
<ds:datastoreItem xmlns:ds="http://schemas.openxmlformats.org/officeDocument/2006/customXml" ds:itemID="{D0E2BA93-1680-4FFE-978F-F490DF0F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15</Pages>
  <Words>20116</Words>
  <Characters>114665</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Acer</cp:lastModifiedBy>
  <cp:revision>13</cp:revision>
  <cp:lastPrinted>2025-07-11T06:27:00Z</cp:lastPrinted>
  <dcterms:created xsi:type="dcterms:W3CDTF">2025-12-29T10:53:00Z</dcterms:created>
  <dcterms:modified xsi:type="dcterms:W3CDTF">2026-04-13T00:20:00Z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718b416a-c9c2-3a0d-a9d2-174fc1a362a0</vt:lpwstr>
  </property>
  <property fmtid="{D5CDD505-2E9C-101B-9397-08002B2CF9AE}" pid="24" name="Mendeley Citation Style_1">
    <vt:lpwstr>http://www.zotero.org/styles/apa</vt:lpwstr>
  </property>
  <property fmtid="{D5CDD505-2E9C-101B-9397-08002B2CF9AE}" pid="25" name="GrammarlyDocumentId">
    <vt:lpwstr>a582f8fe-22e0-4f7c-8222-bec5dc795488</vt:lpwstr>
  </property>
</Properties>
</file>